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黑体" w:hAnsi="宋体" w:eastAsia="黑体" w:cs="黑体"/>
          <w:kern w:val="0"/>
          <w:sz w:val="36"/>
          <w:szCs w:val="36"/>
          <w:lang w:val="en-US" w:eastAsia="zh-CN" w:bidi="ar"/>
        </w:rPr>
        <w:t>赣康智慧高速项目机电工程</w:t>
      </w:r>
      <w:r>
        <w:rPr>
          <w:rFonts w:ascii="黑体" w:hAnsi="宋体" w:eastAsia="黑体" w:cs="黑体"/>
          <w:kern w:val="0"/>
          <w:sz w:val="36"/>
          <w:szCs w:val="36"/>
          <w:lang w:val="en-US" w:eastAsia="zh-CN" w:bidi="ar"/>
        </w:rPr>
        <w:t>施工招标</w:t>
      </w:r>
      <w:r>
        <w:rPr>
          <w:rFonts w:hint="eastAsia" w:ascii="黑体" w:hAnsi="宋体" w:eastAsia="黑体" w:cs="黑体"/>
          <w:kern w:val="0"/>
          <w:sz w:val="36"/>
          <w:szCs w:val="36"/>
          <w:lang w:val="en-US" w:eastAsia="zh-CN" w:bidi="ar"/>
        </w:rPr>
        <w:t>关键内容公开</w:t>
      </w:r>
    </w:p>
    <w:p>
      <w:pPr>
        <w:pStyle w:val="6"/>
        <w:keepNext w:val="0"/>
        <w:keepLines w:val="0"/>
        <w:widowControl/>
        <w:suppressLineNumbers w:val="0"/>
        <w:adjustRightInd w:val="0"/>
        <w:spacing w:before="0" w:beforeAutospacing="0" w:after="0" w:afterAutospacing="0" w:line="360" w:lineRule="auto"/>
        <w:ind w:left="0" w:right="0" w:firstLine="0"/>
      </w:pPr>
      <w:r>
        <w:rPr>
          <w:rFonts w:hint="eastAsia" w:ascii="宋体" w:hAnsi="宋体" w:eastAsia="宋体" w:cs="宋体"/>
          <w:sz w:val="24"/>
          <w:szCs w:val="24"/>
        </w:rPr>
        <w:t> </w:t>
      </w:r>
    </w:p>
    <w:p>
      <w:pPr>
        <w:pStyle w:val="6"/>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根据《公路工程建设项目招标投标管理办法》的规定，现对赣康智慧高速项目机电工程施工招标招标文件中的关键内容进行公开：</w:t>
      </w:r>
    </w:p>
    <w:p>
      <w:pPr>
        <w:pStyle w:val="6"/>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一、项目概况</w:t>
      </w:r>
    </w:p>
    <w:p>
      <w:pPr>
        <w:pStyle w:val="6"/>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详见赣康智慧高速项目机电工程施工招标公告。</w:t>
      </w:r>
    </w:p>
    <w:p>
      <w:pPr>
        <w:pStyle w:val="6"/>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二、投标人资格要求</w:t>
      </w:r>
    </w:p>
    <w:p>
      <w:pPr>
        <w:pStyle w:val="6"/>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详见赣康智慧高速项目机电工程施工招标公告。</w:t>
      </w:r>
    </w:p>
    <w:p>
      <w:pPr>
        <w:pStyle w:val="6"/>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三、评标办法</w:t>
      </w:r>
    </w:p>
    <w:p>
      <w:pPr>
        <w:pStyle w:val="6"/>
        <w:keepNext w:val="0"/>
        <w:keepLines w:val="0"/>
        <w:widowControl/>
        <w:suppressLineNumbers w:val="0"/>
        <w:adjustRightInd w:val="0"/>
        <w:spacing w:before="0" w:beforeAutospacing="0" w:after="0" w:afterAutospacing="0" w:line="360" w:lineRule="auto"/>
        <w:ind w:left="0" w:right="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本次招标采用</w:t>
      </w:r>
      <w:r>
        <w:rPr>
          <w:rFonts w:hint="eastAsia" w:hAnsi="宋体" w:eastAsia="宋体" w:cs="宋体"/>
          <w:color w:val="000000"/>
          <w:spacing w:val="0"/>
          <w:sz w:val="24"/>
          <w:szCs w:val="24"/>
          <w:highlight w:val="none"/>
          <w:lang w:val="en-US" w:eastAsia="zh-CN"/>
        </w:rPr>
        <w:t>技术评分最低标价法</w:t>
      </w:r>
      <w:r>
        <w:rPr>
          <w:rFonts w:hint="eastAsia" w:ascii="宋体" w:hAnsi="宋体" w:eastAsia="宋体" w:cs="宋体"/>
          <w:sz w:val="24"/>
          <w:szCs w:val="24"/>
        </w:rPr>
        <w:t>。</w:t>
      </w:r>
    </w:p>
    <w:p>
      <w:pPr>
        <w:pStyle w:val="6"/>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四、联系方式</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招 标人：赣州交通控股集团有限公司</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地  址：江西省赣州市章贡区沙河镇赣州绕城高速赣州东出口</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邮  编：341000</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 xml:space="preserve">联系 人：张女士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电  话：0797-8289692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传  真：0797-8289692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招标代理机构：江西省赣南公路勘察设计院有限公司</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    址 ：赣州市章江新区赞贤路36号</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邮       编：341000</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联   系  人：刘工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电     话 ：0797-8088235</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电  子 邮 件：gnglkcsjy@163.com</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sz w:val="24"/>
          <w:szCs w:val="24"/>
        </w:rPr>
        <w:t>江西省公共资源交易系统（交通平台）技术支持电话：</w:t>
      </w:r>
      <w:r>
        <w:rPr>
          <w:rFonts w:hint="eastAsia" w:ascii="宋体" w:hAnsi="宋体" w:cs="宋体"/>
          <w:sz w:val="24"/>
          <w:highlight w:val="none"/>
        </w:rPr>
        <w:t>400-998-0000</w:t>
      </w:r>
    </w:p>
    <w:p>
      <w:pPr>
        <w:pStyle w:val="5"/>
        <w:spacing w:before="1"/>
        <w:ind w:left="424"/>
        <w:outlineLvl w:val="2"/>
        <w:rPr>
          <w:rFonts w:hint="eastAsia"/>
          <w:color w:val="auto"/>
          <w:highlight w:val="none"/>
        </w:rPr>
      </w:pPr>
      <w:bookmarkStart w:id="0" w:name="_Toc20267"/>
      <w:bookmarkStart w:id="1" w:name="_Toc18027"/>
      <w:bookmarkStart w:id="2" w:name="_Toc1029"/>
    </w:p>
    <w:p>
      <w:pPr>
        <w:pStyle w:val="5"/>
        <w:spacing w:before="1"/>
        <w:ind w:left="424"/>
        <w:outlineLvl w:val="2"/>
        <w:rPr>
          <w:rFonts w:hint="eastAsia"/>
          <w:color w:val="auto"/>
          <w:highlight w:val="none"/>
        </w:rPr>
      </w:pPr>
    </w:p>
    <w:p>
      <w:pPr>
        <w:pStyle w:val="5"/>
        <w:spacing w:before="1"/>
        <w:ind w:left="424"/>
        <w:outlineLvl w:val="2"/>
        <w:rPr>
          <w:rFonts w:hint="eastAsia"/>
          <w:color w:val="auto"/>
          <w:highlight w:val="none"/>
        </w:rPr>
      </w:pPr>
    </w:p>
    <w:bookmarkEnd w:id="0"/>
    <w:bookmarkEnd w:id="1"/>
    <w:bookmarkEnd w:id="2"/>
    <w:p>
      <w:pPr>
        <w:pStyle w:val="5"/>
        <w:spacing w:before="1"/>
        <w:jc w:val="left"/>
        <w:outlineLvl w:val="2"/>
        <w:rPr>
          <w:rFonts w:hint="eastAsia"/>
          <w:b/>
          <w:color w:val="auto"/>
          <w:sz w:val="28"/>
          <w:szCs w:val="28"/>
          <w:highlight w:val="none"/>
        </w:rPr>
      </w:pPr>
      <w:bookmarkStart w:id="54" w:name="_GoBack"/>
      <w:bookmarkEnd w:id="54"/>
      <w:bookmarkStart w:id="3" w:name="_Toc16566"/>
      <w:r>
        <w:rPr>
          <w:rFonts w:hint="eastAsia"/>
          <w:color w:val="auto"/>
          <w:sz w:val="28"/>
          <w:szCs w:val="28"/>
          <w:highlight w:val="none"/>
        </w:rPr>
        <w:t xml:space="preserve">评标办法前附表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843"/>
        <w:gridCol w:w="776"/>
        <w:gridCol w:w="2000"/>
        <w:gridCol w:w="5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404" w:type="dxa"/>
            <w:gridSpan w:val="3"/>
            <w:noWrap w:val="0"/>
            <w:vAlign w:val="top"/>
          </w:tcPr>
          <w:p>
            <w:pPr>
              <w:pStyle w:val="9"/>
              <w:spacing w:before="130" w:line="250" w:lineRule="exact"/>
              <w:ind w:left="673" w:right="666"/>
              <w:jc w:val="center"/>
              <w:rPr>
                <w:rFonts w:hint="eastAsia" w:ascii="宋体" w:hAnsi="宋体" w:cs="宋体"/>
                <w:b/>
                <w:color w:val="auto"/>
                <w:sz w:val="21"/>
                <w:highlight w:val="none"/>
              </w:rPr>
            </w:pPr>
            <w:r>
              <w:rPr>
                <w:rFonts w:hint="eastAsia" w:ascii="宋体" w:hAnsi="宋体" w:cs="宋体"/>
                <w:b/>
                <w:color w:val="auto"/>
                <w:sz w:val="21"/>
                <w:highlight w:val="none"/>
              </w:rPr>
              <w:t>条款号</w:t>
            </w:r>
          </w:p>
        </w:tc>
        <w:tc>
          <w:tcPr>
            <w:tcW w:w="7075" w:type="dxa"/>
            <w:gridSpan w:val="2"/>
            <w:noWrap w:val="0"/>
            <w:vAlign w:val="top"/>
          </w:tcPr>
          <w:p>
            <w:pPr>
              <w:pStyle w:val="9"/>
              <w:spacing w:before="130" w:line="250" w:lineRule="exact"/>
              <w:ind w:left="2341" w:right="2329"/>
              <w:jc w:val="center"/>
              <w:rPr>
                <w:rFonts w:hint="eastAsia" w:ascii="宋体" w:hAnsi="宋体" w:cs="宋体"/>
                <w:b/>
                <w:color w:val="auto"/>
                <w:sz w:val="21"/>
                <w:highlight w:val="none"/>
              </w:rPr>
            </w:pPr>
            <w:r>
              <w:rPr>
                <w:rFonts w:hint="eastAsia" w:ascii="宋体" w:hAnsi="宋体" w:cs="宋体"/>
                <w:b/>
                <w:color w:val="auto"/>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785" w:type="dxa"/>
            <w:noWrap w:val="0"/>
            <w:vAlign w:val="top"/>
          </w:tcPr>
          <w:p>
            <w:pPr>
              <w:pStyle w:val="9"/>
              <w:rPr>
                <w:rFonts w:hint="eastAsia" w:ascii="宋体" w:hAnsi="宋体" w:cs="宋体"/>
                <w:b/>
                <w:color w:val="auto"/>
                <w:highlight w:val="none"/>
              </w:rPr>
            </w:pPr>
          </w:p>
          <w:p>
            <w:pPr>
              <w:pStyle w:val="9"/>
              <w:rPr>
                <w:rFonts w:hint="eastAsia" w:ascii="宋体" w:hAnsi="宋体" w:cs="宋体"/>
                <w:b/>
                <w:color w:val="auto"/>
                <w:highlight w:val="none"/>
              </w:rPr>
            </w:pPr>
          </w:p>
          <w:p>
            <w:pPr>
              <w:pStyle w:val="9"/>
              <w:spacing w:before="187"/>
              <w:ind w:left="7"/>
              <w:jc w:val="center"/>
              <w:rPr>
                <w:rFonts w:hint="eastAsia" w:ascii="宋体" w:hAnsi="宋体" w:cs="宋体"/>
                <w:color w:val="auto"/>
                <w:sz w:val="21"/>
                <w:highlight w:val="none"/>
              </w:rPr>
            </w:pPr>
            <w:r>
              <w:rPr>
                <w:rFonts w:hint="eastAsia" w:ascii="宋体" w:hAnsi="宋体" w:cs="宋体"/>
                <w:color w:val="auto"/>
                <w:sz w:val="21"/>
                <w:highlight w:val="none"/>
              </w:rPr>
              <w:t>1</w:t>
            </w:r>
          </w:p>
        </w:tc>
        <w:tc>
          <w:tcPr>
            <w:tcW w:w="1619" w:type="dxa"/>
            <w:gridSpan w:val="2"/>
            <w:noWrap w:val="0"/>
            <w:vAlign w:val="top"/>
          </w:tcPr>
          <w:p>
            <w:pPr>
              <w:pStyle w:val="9"/>
              <w:rPr>
                <w:rFonts w:hint="eastAsia" w:ascii="宋体" w:hAnsi="宋体" w:cs="宋体"/>
                <w:b/>
                <w:color w:val="auto"/>
                <w:highlight w:val="none"/>
              </w:rPr>
            </w:pPr>
          </w:p>
          <w:p>
            <w:pPr>
              <w:pStyle w:val="9"/>
              <w:rPr>
                <w:rFonts w:hint="eastAsia" w:ascii="宋体" w:hAnsi="宋体" w:cs="宋体"/>
                <w:b/>
                <w:color w:val="auto"/>
                <w:highlight w:val="none"/>
              </w:rPr>
            </w:pPr>
          </w:p>
          <w:p>
            <w:pPr>
              <w:pStyle w:val="9"/>
              <w:spacing w:before="10"/>
              <w:rPr>
                <w:rFonts w:hint="eastAsia" w:ascii="宋体" w:hAnsi="宋体" w:cs="宋体"/>
                <w:b/>
                <w:color w:val="auto"/>
                <w:sz w:val="18"/>
                <w:highlight w:val="none"/>
              </w:rPr>
            </w:pPr>
          </w:p>
          <w:p>
            <w:pPr>
              <w:pStyle w:val="9"/>
              <w:jc w:val="center"/>
              <w:rPr>
                <w:rFonts w:hint="eastAsia" w:ascii="宋体" w:hAnsi="宋体" w:cs="宋体"/>
                <w:color w:val="auto"/>
                <w:sz w:val="21"/>
                <w:highlight w:val="none"/>
              </w:rPr>
            </w:pPr>
            <w:r>
              <w:rPr>
                <w:rFonts w:hint="eastAsia" w:ascii="宋体" w:hAnsi="宋体" w:cs="宋体"/>
                <w:color w:val="auto"/>
                <w:sz w:val="21"/>
                <w:highlight w:val="none"/>
              </w:rPr>
              <w:t>评标方法</w:t>
            </w:r>
          </w:p>
        </w:tc>
        <w:tc>
          <w:tcPr>
            <w:tcW w:w="7075" w:type="dxa"/>
            <w:gridSpan w:val="2"/>
            <w:noWrap w:val="0"/>
            <w:vAlign w:val="top"/>
          </w:tcPr>
          <w:p>
            <w:pPr>
              <w:pStyle w:val="9"/>
              <w:spacing w:before="89" w:line="276" w:lineRule="auto"/>
              <w:ind w:left="107" w:right="96" w:firstLine="420"/>
              <w:rPr>
                <w:rFonts w:hint="eastAsia" w:ascii="宋体" w:hAnsi="宋体" w:cs="宋体"/>
                <w:color w:val="auto"/>
                <w:sz w:val="21"/>
                <w:highlight w:val="none"/>
              </w:rPr>
            </w:pPr>
            <w:r>
              <w:rPr>
                <w:rFonts w:hint="eastAsia" w:ascii="宋体" w:hAnsi="宋体" w:cs="宋体"/>
                <w:color w:val="auto"/>
                <w:sz w:val="21"/>
                <w:highlight w:val="none"/>
              </w:rPr>
              <w:t>评标价相等时，评标委员会依次按照以下优先顺序推荐中标候选人或确定中标人：</w:t>
            </w:r>
          </w:p>
          <w:p>
            <w:pPr>
              <w:pStyle w:val="9"/>
              <w:numPr>
                <w:ilvl w:val="0"/>
                <w:numId w:val="1"/>
              </w:numPr>
              <w:spacing w:line="276" w:lineRule="auto"/>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江西省交通运输厅发布的2022年度高速公路施工企业信用评价结果中机电序列等级高者优先；（当年未参与评价的按B级确定）</w:t>
            </w:r>
          </w:p>
          <w:p>
            <w:pPr>
              <w:pStyle w:val="9"/>
              <w:numPr>
                <w:ilvl w:val="0"/>
                <w:numId w:val="1"/>
              </w:numPr>
              <w:spacing w:line="276" w:lineRule="auto"/>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商务及技术 得分高者优先;</w:t>
            </w:r>
          </w:p>
          <w:p>
            <w:pPr>
              <w:pStyle w:val="9"/>
              <w:numPr>
                <w:ilvl w:val="0"/>
                <w:numId w:val="1"/>
              </w:numPr>
              <w:spacing w:line="276" w:lineRule="auto"/>
              <w:ind w:firstLine="210"/>
              <w:rPr>
                <w:rFonts w:hint="eastAsia" w:ascii="宋体" w:hAnsi="宋体" w:cs="宋体"/>
                <w:color w:val="auto"/>
                <w:sz w:val="21"/>
                <w:highlight w:val="none"/>
              </w:rPr>
            </w:pPr>
            <w:r>
              <w:rPr>
                <w:rFonts w:hint="eastAsia" w:ascii="宋体" w:hAnsi="宋体" w:cs="宋体"/>
                <w:color w:val="auto"/>
                <w:sz w:val="21"/>
                <w:szCs w:val="21"/>
                <w:highlight w:val="none"/>
              </w:rPr>
              <w:t>技术文件得分较高的投标人优先。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404" w:type="dxa"/>
            <w:gridSpan w:val="3"/>
            <w:noWrap w:val="0"/>
            <w:vAlign w:val="center"/>
          </w:tcPr>
          <w:p>
            <w:pPr>
              <w:jc w:val="center"/>
              <w:rPr>
                <w:color w:val="auto"/>
                <w:sz w:val="21"/>
                <w:highlight w:val="none"/>
              </w:rPr>
            </w:pPr>
            <w:r>
              <w:rPr>
                <w:color w:val="auto"/>
                <w:sz w:val="21"/>
                <w:highlight w:val="none"/>
              </w:rPr>
              <w:t>条款号</w:t>
            </w:r>
          </w:p>
        </w:tc>
        <w:tc>
          <w:tcPr>
            <w:tcW w:w="2000" w:type="dxa"/>
            <w:noWrap w:val="0"/>
            <w:vAlign w:val="center"/>
          </w:tcPr>
          <w:p>
            <w:pPr>
              <w:jc w:val="center"/>
              <w:rPr>
                <w:color w:val="auto"/>
                <w:sz w:val="21"/>
                <w:highlight w:val="none"/>
              </w:rPr>
            </w:pPr>
            <w:r>
              <w:rPr>
                <w:color w:val="auto"/>
                <w:sz w:val="21"/>
                <w:highlight w:val="none"/>
              </w:rPr>
              <w:t>评审因素</w:t>
            </w:r>
          </w:p>
        </w:tc>
        <w:tc>
          <w:tcPr>
            <w:tcW w:w="5075" w:type="dxa"/>
            <w:noWrap w:val="0"/>
            <w:vAlign w:val="center"/>
          </w:tcPr>
          <w:p>
            <w:pPr>
              <w:adjustRightInd w:val="0"/>
              <w:snapToGrid w:val="0"/>
              <w:spacing w:before="72" w:beforeLines="30" w:after="72" w:afterLines="30"/>
              <w:ind w:left="63" w:leftChars="30" w:right="63" w:rightChars="30"/>
              <w:jc w:val="center"/>
              <w:rPr>
                <w:color w:val="auto"/>
                <w:sz w:val="21"/>
                <w:highlight w:val="none"/>
              </w:rPr>
            </w:pPr>
            <w:r>
              <w:rPr>
                <w:color w:val="auto"/>
                <w:sz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85" w:type="dxa"/>
            <w:vMerge w:val="restart"/>
            <w:noWrap w:val="0"/>
            <w:vAlign w:val="center"/>
          </w:tcPr>
          <w:p>
            <w:pPr>
              <w:jc w:val="center"/>
              <w:rPr>
                <w:rFonts w:hint="eastAsia"/>
                <w:color w:val="auto"/>
                <w:sz w:val="21"/>
                <w:highlight w:val="none"/>
              </w:rPr>
            </w:pPr>
            <w:r>
              <w:rPr>
                <w:color w:val="auto"/>
                <w:sz w:val="21"/>
                <w:highlight w:val="none"/>
              </w:rPr>
              <w:t>2.1.1</w:t>
            </w:r>
          </w:p>
          <w:p>
            <w:pPr>
              <w:jc w:val="center"/>
              <w:rPr>
                <w:rFonts w:hint="eastAsia"/>
                <w:color w:val="auto"/>
                <w:sz w:val="21"/>
                <w:highlight w:val="none"/>
              </w:rPr>
            </w:pPr>
            <w:r>
              <w:rPr>
                <w:rFonts w:hint="eastAsia"/>
                <w:color w:val="auto"/>
                <w:sz w:val="21"/>
                <w:highlight w:val="none"/>
              </w:rPr>
              <w:t>2.1.3</w:t>
            </w:r>
          </w:p>
        </w:tc>
        <w:tc>
          <w:tcPr>
            <w:tcW w:w="843" w:type="dxa"/>
            <w:vMerge w:val="restart"/>
            <w:noWrap w:val="0"/>
            <w:vAlign w:val="center"/>
          </w:tcPr>
          <w:p>
            <w:pPr>
              <w:jc w:val="center"/>
              <w:rPr>
                <w:rFonts w:hint="eastAsia"/>
                <w:color w:val="auto"/>
                <w:sz w:val="21"/>
                <w:highlight w:val="none"/>
              </w:rPr>
            </w:pPr>
            <w:r>
              <w:rPr>
                <w:rFonts w:hint="eastAsia"/>
                <w:color w:val="auto"/>
                <w:sz w:val="21"/>
                <w:highlight w:val="none"/>
              </w:rPr>
              <w:t>第</w:t>
            </w:r>
          </w:p>
          <w:p>
            <w:pPr>
              <w:jc w:val="center"/>
              <w:rPr>
                <w:rFonts w:hint="eastAsia"/>
                <w:color w:val="auto"/>
                <w:sz w:val="21"/>
                <w:highlight w:val="none"/>
              </w:rPr>
            </w:pPr>
            <w:r>
              <w:rPr>
                <w:rFonts w:hint="eastAsia"/>
                <w:color w:val="auto"/>
                <w:sz w:val="21"/>
                <w:highlight w:val="none"/>
              </w:rPr>
              <w:t>一</w:t>
            </w:r>
          </w:p>
          <w:p>
            <w:pPr>
              <w:jc w:val="center"/>
              <w:rPr>
                <w:rFonts w:hint="eastAsia"/>
                <w:color w:val="auto"/>
                <w:sz w:val="21"/>
                <w:highlight w:val="none"/>
              </w:rPr>
            </w:pPr>
            <w:r>
              <w:rPr>
                <w:rFonts w:hint="eastAsia"/>
                <w:color w:val="auto"/>
                <w:sz w:val="21"/>
                <w:highlight w:val="none"/>
              </w:rPr>
              <w:t>个</w:t>
            </w:r>
          </w:p>
          <w:p>
            <w:pPr>
              <w:jc w:val="center"/>
              <w:rPr>
                <w:rFonts w:hint="eastAsia"/>
                <w:color w:val="auto"/>
                <w:sz w:val="21"/>
                <w:highlight w:val="none"/>
              </w:rPr>
            </w:pPr>
            <w:r>
              <w:rPr>
                <w:rFonts w:hint="eastAsia"/>
                <w:color w:val="auto"/>
                <w:sz w:val="21"/>
                <w:highlight w:val="none"/>
              </w:rPr>
              <w:t>信</w:t>
            </w:r>
          </w:p>
          <w:p>
            <w:pPr>
              <w:jc w:val="center"/>
              <w:rPr>
                <w:rFonts w:hint="eastAsia"/>
                <w:color w:val="auto"/>
                <w:sz w:val="21"/>
                <w:highlight w:val="none"/>
              </w:rPr>
            </w:pPr>
            <w:r>
              <w:rPr>
                <w:rFonts w:hint="eastAsia"/>
                <w:color w:val="auto"/>
                <w:sz w:val="21"/>
                <w:highlight w:val="none"/>
              </w:rPr>
              <w:t>封</w:t>
            </w:r>
          </w:p>
          <w:p>
            <w:pPr>
              <w:jc w:val="center"/>
              <w:rPr>
                <w:rFonts w:hint="eastAsia"/>
                <w:color w:val="auto"/>
                <w:sz w:val="21"/>
                <w:highlight w:val="none"/>
              </w:rPr>
            </w:pPr>
            <w:r>
              <w:rPr>
                <w:rFonts w:hint="eastAsia"/>
                <w:color w:val="auto"/>
                <w:sz w:val="21"/>
                <w:highlight w:val="none"/>
              </w:rPr>
              <w:t>︵</w:t>
            </w:r>
          </w:p>
          <w:p>
            <w:pPr>
              <w:jc w:val="center"/>
              <w:rPr>
                <w:color w:val="auto"/>
                <w:sz w:val="21"/>
                <w:highlight w:val="none"/>
              </w:rPr>
            </w:pPr>
            <w:r>
              <w:rPr>
                <w:rFonts w:hint="eastAsia"/>
                <w:color w:val="auto"/>
                <w:sz w:val="21"/>
                <w:highlight w:val="none"/>
              </w:rPr>
              <w:t>商</w:t>
            </w:r>
          </w:p>
          <w:p>
            <w:pPr>
              <w:jc w:val="center"/>
              <w:rPr>
                <w:rFonts w:hint="eastAsia"/>
                <w:color w:val="auto"/>
                <w:sz w:val="21"/>
                <w:highlight w:val="none"/>
              </w:rPr>
            </w:pPr>
            <w:r>
              <w:rPr>
                <w:rFonts w:hint="eastAsia"/>
                <w:color w:val="auto"/>
                <w:sz w:val="21"/>
                <w:highlight w:val="none"/>
              </w:rPr>
              <w:t>务</w:t>
            </w:r>
          </w:p>
          <w:p>
            <w:pPr>
              <w:jc w:val="center"/>
              <w:rPr>
                <w:rFonts w:hint="eastAsia"/>
                <w:color w:val="auto"/>
                <w:sz w:val="21"/>
                <w:highlight w:val="none"/>
              </w:rPr>
            </w:pPr>
            <w:r>
              <w:rPr>
                <w:rFonts w:hint="eastAsia"/>
                <w:color w:val="auto"/>
                <w:sz w:val="21"/>
                <w:highlight w:val="none"/>
              </w:rPr>
              <w:t>及</w:t>
            </w:r>
          </w:p>
          <w:p>
            <w:pPr>
              <w:jc w:val="center"/>
              <w:rPr>
                <w:rFonts w:hint="eastAsia"/>
                <w:color w:val="auto"/>
                <w:sz w:val="21"/>
                <w:highlight w:val="none"/>
              </w:rPr>
            </w:pPr>
            <w:r>
              <w:rPr>
                <w:rFonts w:hint="eastAsia"/>
                <w:color w:val="auto"/>
                <w:sz w:val="21"/>
                <w:highlight w:val="none"/>
              </w:rPr>
              <w:t>技</w:t>
            </w:r>
          </w:p>
          <w:p>
            <w:pPr>
              <w:jc w:val="center"/>
              <w:rPr>
                <w:color w:val="auto"/>
                <w:sz w:val="21"/>
                <w:highlight w:val="none"/>
              </w:rPr>
            </w:pPr>
            <w:r>
              <w:rPr>
                <w:rFonts w:hint="eastAsia"/>
                <w:color w:val="auto"/>
                <w:sz w:val="21"/>
                <w:highlight w:val="none"/>
              </w:rPr>
              <w:t>术</w:t>
            </w:r>
          </w:p>
          <w:p>
            <w:pPr>
              <w:jc w:val="center"/>
              <w:rPr>
                <w:color w:val="auto"/>
                <w:sz w:val="21"/>
                <w:highlight w:val="none"/>
              </w:rPr>
            </w:pPr>
            <w:r>
              <w:rPr>
                <w:rFonts w:hint="eastAsia"/>
                <w:color w:val="auto"/>
                <w:sz w:val="21"/>
                <w:highlight w:val="none"/>
              </w:rPr>
              <w:t>文</w:t>
            </w:r>
          </w:p>
          <w:p>
            <w:pPr>
              <w:jc w:val="center"/>
              <w:rPr>
                <w:rFonts w:hint="eastAsia"/>
                <w:color w:val="auto"/>
                <w:sz w:val="21"/>
                <w:highlight w:val="none"/>
              </w:rPr>
            </w:pPr>
            <w:r>
              <w:rPr>
                <w:rFonts w:hint="eastAsia"/>
                <w:color w:val="auto"/>
                <w:sz w:val="21"/>
                <w:highlight w:val="none"/>
              </w:rPr>
              <w:t>件</w:t>
            </w:r>
          </w:p>
          <w:p>
            <w:pPr>
              <w:jc w:val="center"/>
              <w:rPr>
                <w:rFonts w:hint="eastAsia"/>
                <w:color w:val="auto"/>
                <w:sz w:val="21"/>
                <w:highlight w:val="none"/>
              </w:rPr>
            </w:pPr>
            <w:r>
              <w:rPr>
                <w:rFonts w:hint="eastAsia"/>
                <w:color w:val="auto"/>
                <w:sz w:val="21"/>
                <w:highlight w:val="none"/>
              </w:rPr>
              <w:t>︶</w:t>
            </w:r>
          </w:p>
        </w:tc>
        <w:tc>
          <w:tcPr>
            <w:tcW w:w="776" w:type="dxa"/>
            <w:vMerge w:val="restart"/>
            <w:noWrap w:val="0"/>
            <w:textDirection w:val="tbRlV"/>
            <w:vAlign w:val="center"/>
          </w:tcPr>
          <w:p>
            <w:pPr>
              <w:ind w:left="420"/>
              <w:jc w:val="center"/>
              <w:rPr>
                <w:rFonts w:hint="eastAsia"/>
                <w:color w:val="auto"/>
                <w:sz w:val="21"/>
                <w:highlight w:val="none"/>
              </w:rPr>
            </w:pPr>
            <w:r>
              <w:rPr>
                <w:rFonts w:hint="eastAsia"/>
                <w:color w:val="auto"/>
                <w:sz w:val="21"/>
                <w:highlight w:val="none"/>
              </w:rPr>
              <w:t>形式评审与响应性评审标准</w:t>
            </w:r>
          </w:p>
        </w:tc>
        <w:tc>
          <w:tcPr>
            <w:tcW w:w="2000" w:type="dxa"/>
            <w:noWrap w:val="0"/>
            <w:vAlign w:val="center"/>
          </w:tcPr>
          <w:p>
            <w:pPr>
              <w:jc w:val="center"/>
              <w:rPr>
                <w:color w:val="auto"/>
                <w:sz w:val="21"/>
                <w:highlight w:val="none"/>
              </w:rPr>
            </w:pPr>
            <w:r>
              <w:rPr>
                <w:color w:val="auto"/>
                <w:sz w:val="21"/>
                <w:highlight w:val="none"/>
              </w:rPr>
              <w:t>投标</w:t>
            </w:r>
            <w:r>
              <w:rPr>
                <w:rFonts w:hint="eastAsia"/>
                <w:color w:val="auto"/>
                <w:sz w:val="21"/>
                <w:highlight w:val="none"/>
              </w:rPr>
              <w:t>函填写</w:t>
            </w:r>
          </w:p>
        </w:tc>
        <w:tc>
          <w:tcPr>
            <w:tcW w:w="5075" w:type="dxa"/>
            <w:noWrap w:val="0"/>
            <w:vAlign w:val="center"/>
          </w:tcPr>
          <w:p>
            <w:pPr>
              <w:pStyle w:val="9"/>
              <w:adjustRightInd w:val="0"/>
              <w:snapToGrid w:val="0"/>
              <w:spacing w:before="72" w:beforeLines="30" w:after="72" w:afterLines="30"/>
              <w:ind w:left="63" w:leftChars="30" w:right="63" w:rightChars="30"/>
              <w:rPr>
                <w:rFonts w:hint="eastAsia"/>
                <w:color w:val="auto"/>
                <w:sz w:val="21"/>
                <w:highlight w:val="none"/>
              </w:rPr>
            </w:pPr>
            <w:r>
              <w:rPr>
                <w:rFonts w:hint="eastAsia" w:ascii="宋体" w:hAnsi="宋体" w:cs="宋体"/>
                <w:color w:val="auto"/>
                <w:sz w:val="21"/>
                <w:szCs w:val="22"/>
                <w:highlight w:val="none"/>
                <w:lang w:val="zh-CN" w:bidi="zh-CN"/>
              </w:rPr>
              <w:t>投标函按招标文件规定填报了项目名称、补遗书编号（如有）、工期、工程质量要求及安全目标，投标函附录的所有数据均符合招标文件规定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color w:val="auto"/>
                <w:sz w:val="21"/>
                <w:highlight w:val="none"/>
              </w:rPr>
              <w:t>文件</w:t>
            </w:r>
            <w:r>
              <w:rPr>
                <w:rFonts w:hint="eastAsia"/>
                <w:color w:val="auto"/>
                <w:sz w:val="21"/>
                <w:highlight w:val="none"/>
              </w:rPr>
              <w:t>填写及组成</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2"/>
                <w:highlight w:val="none"/>
                <w:lang w:val="zh-CN" w:bidi="zh-CN"/>
              </w:rPr>
              <w:t>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文件</w:t>
            </w:r>
            <w:r>
              <w:rPr>
                <w:color w:val="auto"/>
                <w:sz w:val="21"/>
                <w:highlight w:val="none"/>
              </w:rPr>
              <w:t>签字盖章</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投标保证金</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color w:val="auto"/>
                <w:sz w:val="21"/>
                <w:highlight w:val="none"/>
              </w:rPr>
            </w:pPr>
            <w:r>
              <w:rPr>
                <w:rFonts w:hint="eastAsia"/>
                <w:color w:val="auto"/>
                <w:sz w:val="21"/>
                <w:highlight w:val="none"/>
              </w:rPr>
              <w:t>投标文件备选方案</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同一投标人同一标段未提交两个以上不同的投标文件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投标报价</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color w:val="auto"/>
                <w:sz w:val="21"/>
                <w:highlight w:val="none"/>
              </w:rPr>
            </w:pPr>
            <w:r>
              <w:rPr>
                <w:rFonts w:hint="eastAsia"/>
                <w:color w:val="auto"/>
                <w:sz w:val="21"/>
                <w:highlight w:val="none"/>
              </w:rPr>
              <w:t>计划工期</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color w:val="auto"/>
                <w:sz w:val="21"/>
                <w:highlight w:val="none"/>
              </w:rPr>
            </w:pPr>
            <w:r>
              <w:rPr>
                <w:color w:val="auto"/>
                <w:sz w:val="21"/>
                <w:highlight w:val="none"/>
              </w:rPr>
              <w:t>质量</w:t>
            </w:r>
            <w:r>
              <w:rPr>
                <w:rFonts w:hint="eastAsia"/>
                <w:color w:val="auto"/>
                <w:sz w:val="21"/>
                <w:highlight w:val="none"/>
              </w:rPr>
              <w:t>要求</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安全目标</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符合第二章“投标人须知”第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实质性响应</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对招标文件的实质性要求和条件作出响应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2"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color w:val="auto"/>
                <w:sz w:val="21"/>
                <w:highlight w:val="none"/>
              </w:rPr>
            </w:pPr>
            <w:r>
              <w:rPr>
                <w:rFonts w:hint="eastAsia"/>
                <w:color w:val="auto"/>
                <w:sz w:val="21"/>
                <w:szCs w:val="21"/>
                <w:highlight w:val="none"/>
              </w:rPr>
              <w:t>权利义务符合招标文件规定</w:t>
            </w:r>
          </w:p>
        </w:tc>
        <w:tc>
          <w:tcPr>
            <w:tcW w:w="5075" w:type="dxa"/>
            <w:noWrap w:val="0"/>
            <w:vAlign w:val="center"/>
          </w:tcPr>
          <w:p>
            <w:pPr>
              <w:adjustRightInd w:val="0"/>
              <w:snapToGrid w:val="0"/>
              <w:spacing w:before="72" w:beforeLines="30" w:after="72" w:afterLines="30"/>
              <w:ind w:left="63" w:leftChars="30" w:right="63" w:rightChars="3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a.投标人应接受招标文件规定的风险划分原则，未提出新的风险划分办法；</w:t>
            </w:r>
          </w:p>
          <w:p>
            <w:pPr>
              <w:adjustRightInd w:val="0"/>
              <w:snapToGrid w:val="0"/>
              <w:spacing w:before="72" w:beforeLines="30" w:after="72" w:afterLines="30"/>
              <w:ind w:left="63" w:leftChars="30" w:right="63" w:rightChars="3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b.投标人未增加委托人的责任范围，或减少投标人义务；</w:t>
            </w:r>
          </w:p>
          <w:p>
            <w:pPr>
              <w:adjustRightInd w:val="0"/>
              <w:snapToGrid w:val="0"/>
              <w:spacing w:before="72" w:beforeLines="30" w:after="72" w:afterLines="30"/>
              <w:ind w:left="63" w:leftChars="30" w:right="63" w:rightChars="3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c.投标人未提出不同的支付办法；</w:t>
            </w:r>
          </w:p>
          <w:p>
            <w:pPr>
              <w:adjustRightInd w:val="0"/>
              <w:snapToGrid w:val="0"/>
              <w:spacing w:before="72" w:beforeLines="30" w:after="72" w:afterLines="30"/>
              <w:ind w:left="63" w:leftChars="30" w:right="63" w:rightChars="3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pPr>
              <w:adjustRightInd w:val="0"/>
              <w:snapToGrid w:val="0"/>
              <w:spacing w:before="72" w:beforeLines="30" w:after="72" w:afterLines="30"/>
              <w:ind w:left="63" w:leftChars="30" w:right="63" w:rightChars="3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pPr>
              <w:adjustRightInd w:val="0"/>
              <w:snapToGrid w:val="0"/>
              <w:spacing w:before="72" w:beforeLines="30" w:after="72" w:afterLines="30"/>
              <w:ind w:left="63" w:leftChars="30" w:right="63" w:rightChars="30" w:firstLine="210" w:firstLineChars="100"/>
              <w:rPr>
                <w:rFonts w:hint="eastAsia" w:ascii="宋体" w:hAnsi="宋体" w:cs="宋体"/>
                <w:color w:val="auto"/>
                <w:sz w:val="21"/>
                <w:szCs w:val="22"/>
                <w:highlight w:val="none"/>
                <w:lang w:val="zh-CN" w:bidi="zh-CN"/>
              </w:rPr>
            </w:pPr>
            <w:r>
              <w:rPr>
                <w:rFonts w:hint="eastAsia" w:ascii="宋体" w:hAnsi="宋体" w:cs="宋体"/>
                <w:color w:val="auto"/>
                <w:sz w:val="21"/>
                <w:szCs w:val="21"/>
                <w:highlight w:val="none"/>
              </w:rPr>
              <w:t>f.投标人未对合同条款有重要保留。</w:t>
            </w:r>
          </w:p>
        </w:tc>
      </w:tr>
    </w:tbl>
    <w:p>
      <w:pPr>
        <w:jc w:val="center"/>
        <w:rPr>
          <w:color w:val="auto"/>
          <w:sz w:val="21"/>
          <w:highlight w:val="none"/>
        </w:rPr>
      </w:pPr>
      <w:r>
        <w:rPr>
          <w:color w:val="auto"/>
          <w:sz w:val="21"/>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3"/>
        <w:gridCol w:w="630"/>
        <w:gridCol w:w="646"/>
        <w:gridCol w:w="1992"/>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393" w:type="dxa"/>
            <w:vMerge w:val="restart"/>
            <w:noWrap w:val="0"/>
            <w:vAlign w:val="center"/>
          </w:tcPr>
          <w:p>
            <w:pPr>
              <w:jc w:val="center"/>
              <w:rPr>
                <w:rFonts w:hint="eastAsia"/>
                <w:color w:val="auto"/>
                <w:sz w:val="21"/>
                <w:highlight w:val="none"/>
              </w:rPr>
            </w:pPr>
            <w:r>
              <w:rPr>
                <w:color w:val="auto"/>
                <w:sz w:val="21"/>
                <w:highlight w:val="none"/>
              </w:rPr>
              <w:t>2.1.</w:t>
            </w:r>
            <w:r>
              <w:rPr>
                <w:rFonts w:hint="eastAsia"/>
                <w:color w:val="auto"/>
                <w:sz w:val="21"/>
                <w:highlight w:val="none"/>
              </w:rPr>
              <w:t>1</w:t>
            </w:r>
          </w:p>
          <w:p>
            <w:pPr>
              <w:jc w:val="center"/>
              <w:rPr>
                <w:rFonts w:hint="eastAsia"/>
                <w:color w:val="auto"/>
                <w:sz w:val="21"/>
                <w:highlight w:val="none"/>
              </w:rPr>
            </w:pPr>
            <w:r>
              <w:rPr>
                <w:rFonts w:hint="eastAsia"/>
                <w:color w:val="auto"/>
                <w:sz w:val="21"/>
                <w:highlight w:val="none"/>
              </w:rPr>
              <w:t>2.1.3</w:t>
            </w:r>
          </w:p>
        </w:tc>
        <w:tc>
          <w:tcPr>
            <w:tcW w:w="630" w:type="dxa"/>
            <w:vMerge w:val="restart"/>
            <w:noWrap w:val="0"/>
            <w:vAlign w:val="center"/>
          </w:tcPr>
          <w:p>
            <w:pPr>
              <w:jc w:val="center"/>
              <w:rPr>
                <w:rFonts w:hint="eastAsia"/>
                <w:color w:val="auto"/>
                <w:sz w:val="21"/>
                <w:highlight w:val="none"/>
              </w:rPr>
            </w:pPr>
            <w:r>
              <w:rPr>
                <w:rFonts w:hint="eastAsia"/>
                <w:color w:val="auto"/>
                <w:sz w:val="21"/>
                <w:highlight w:val="none"/>
              </w:rPr>
              <w:t>第</w:t>
            </w:r>
          </w:p>
          <w:p>
            <w:pPr>
              <w:jc w:val="center"/>
              <w:rPr>
                <w:rFonts w:hint="eastAsia"/>
                <w:color w:val="auto"/>
                <w:sz w:val="21"/>
                <w:highlight w:val="none"/>
              </w:rPr>
            </w:pPr>
            <w:r>
              <w:rPr>
                <w:rFonts w:hint="eastAsia"/>
                <w:color w:val="auto"/>
                <w:sz w:val="21"/>
                <w:highlight w:val="none"/>
              </w:rPr>
              <w:t>二</w:t>
            </w:r>
          </w:p>
          <w:p>
            <w:pPr>
              <w:jc w:val="center"/>
              <w:rPr>
                <w:rFonts w:hint="eastAsia"/>
                <w:color w:val="auto"/>
                <w:sz w:val="21"/>
                <w:highlight w:val="none"/>
              </w:rPr>
            </w:pPr>
            <w:r>
              <w:rPr>
                <w:rFonts w:hint="eastAsia"/>
                <w:color w:val="auto"/>
                <w:sz w:val="21"/>
                <w:highlight w:val="none"/>
              </w:rPr>
              <w:t>个</w:t>
            </w:r>
          </w:p>
          <w:p>
            <w:pPr>
              <w:jc w:val="center"/>
              <w:rPr>
                <w:rFonts w:hint="eastAsia"/>
                <w:color w:val="auto"/>
                <w:sz w:val="21"/>
                <w:highlight w:val="none"/>
              </w:rPr>
            </w:pPr>
            <w:r>
              <w:rPr>
                <w:rFonts w:hint="eastAsia"/>
                <w:color w:val="auto"/>
                <w:sz w:val="21"/>
                <w:highlight w:val="none"/>
              </w:rPr>
              <w:t>信</w:t>
            </w:r>
          </w:p>
          <w:p>
            <w:pPr>
              <w:jc w:val="center"/>
              <w:rPr>
                <w:rFonts w:hint="eastAsia"/>
                <w:color w:val="auto"/>
                <w:sz w:val="21"/>
                <w:highlight w:val="none"/>
              </w:rPr>
            </w:pPr>
            <w:r>
              <w:rPr>
                <w:rFonts w:hint="eastAsia"/>
                <w:color w:val="auto"/>
                <w:sz w:val="21"/>
                <w:highlight w:val="none"/>
              </w:rPr>
              <w:t>封</w:t>
            </w:r>
          </w:p>
          <w:p>
            <w:pPr>
              <w:jc w:val="center"/>
              <w:rPr>
                <w:rFonts w:hint="eastAsia"/>
                <w:color w:val="auto"/>
                <w:sz w:val="21"/>
                <w:highlight w:val="none"/>
              </w:rPr>
            </w:pPr>
            <w:r>
              <w:rPr>
                <w:rFonts w:hint="eastAsia"/>
                <w:color w:val="auto"/>
                <w:sz w:val="21"/>
                <w:highlight w:val="none"/>
              </w:rPr>
              <w:t>︵</w:t>
            </w:r>
          </w:p>
          <w:p>
            <w:pPr>
              <w:jc w:val="center"/>
              <w:rPr>
                <w:color w:val="auto"/>
                <w:sz w:val="21"/>
                <w:highlight w:val="none"/>
              </w:rPr>
            </w:pPr>
            <w:r>
              <w:rPr>
                <w:rFonts w:hint="eastAsia"/>
                <w:color w:val="auto"/>
                <w:sz w:val="21"/>
                <w:highlight w:val="none"/>
              </w:rPr>
              <w:t>报</w:t>
            </w:r>
          </w:p>
          <w:p>
            <w:pPr>
              <w:jc w:val="center"/>
              <w:rPr>
                <w:color w:val="auto"/>
                <w:sz w:val="21"/>
                <w:highlight w:val="none"/>
              </w:rPr>
            </w:pPr>
            <w:r>
              <w:rPr>
                <w:rFonts w:hint="eastAsia"/>
                <w:color w:val="auto"/>
                <w:sz w:val="21"/>
                <w:highlight w:val="none"/>
              </w:rPr>
              <w:t>价</w:t>
            </w:r>
          </w:p>
          <w:p>
            <w:pPr>
              <w:jc w:val="center"/>
              <w:rPr>
                <w:color w:val="auto"/>
                <w:sz w:val="21"/>
                <w:highlight w:val="none"/>
              </w:rPr>
            </w:pPr>
            <w:r>
              <w:rPr>
                <w:rFonts w:hint="eastAsia"/>
                <w:color w:val="auto"/>
                <w:sz w:val="21"/>
                <w:highlight w:val="none"/>
              </w:rPr>
              <w:t>文</w:t>
            </w:r>
          </w:p>
          <w:p>
            <w:pPr>
              <w:jc w:val="center"/>
              <w:rPr>
                <w:rFonts w:hint="eastAsia"/>
                <w:color w:val="auto"/>
                <w:sz w:val="21"/>
                <w:highlight w:val="none"/>
              </w:rPr>
            </w:pPr>
            <w:r>
              <w:rPr>
                <w:rFonts w:hint="eastAsia"/>
                <w:color w:val="auto"/>
                <w:sz w:val="21"/>
                <w:highlight w:val="none"/>
              </w:rPr>
              <w:t>件</w:t>
            </w:r>
          </w:p>
          <w:p>
            <w:pPr>
              <w:jc w:val="center"/>
              <w:rPr>
                <w:color w:val="auto"/>
                <w:sz w:val="21"/>
                <w:highlight w:val="none"/>
              </w:rPr>
            </w:pPr>
            <w:r>
              <w:rPr>
                <w:rFonts w:hint="eastAsia"/>
                <w:color w:val="auto"/>
                <w:sz w:val="21"/>
                <w:highlight w:val="none"/>
              </w:rPr>
              <w:t>︶</w:t>
            </w:r>
          </w:p>
        </w:tc>
        <w:tc>
          <w:tcPr>
            <w:tcW w:w="646" w:type="dxa"/>
            <w:vMerge w:val="restart"/>
            <w:noWrap w:val="0"/>
            <w:textDirection w:val="tbRlV"/>
            <w:vAlign w:val="center"/>
          </w:tcPr>
          <w:p>
            <w:pPr>
              <w:ind w:left="420"/>
              <w:jc w:val="center"/>
              <w:rPr>
                <w:color w:val="auto"/>
                <w:sz w:val="21"/>
                <w:highlight w:val="none"/>
              </w:rPr>
            </w:pPr>
            <w:r>
              <w:rPr>
                <w:rFonts w:hint="eastAsia"/>
                <w:color w:val="auto"/>
                <w:sz w:val="21"/>
                <w:szCs w:val="21"/>
                <w:highlight w:val="none"/>
              </w:rPr>
              <w:t>形式评审与响应性评审标准</w:t>
            </w:r>
          </w:p>
        </w:tc>
        <w:tc>
          <w:tcPr>
            <w:tcW w:w="1992" w:type="dxa"/>
            <w:noWrap w:val="0"/>
            <w:vAlign w:val="center"/>
          </w:tcPr>
          <w:p>
            <w:pPr>
              <w:jc w:val="center"/>
              <w:rPr>
                <w:color w:val="auto"/>
                <w:sz w:val="21"/>
                <w:highlight w:val="none"/>
              </w:rPr>
            </w:pPr>
            <w:r>
              <w:rPr>
                <w:rFonts w:hint="eastAsia"/>
                <w:color w:val="auto"/>
                <w:sz w:val="21"/>
                <w:szCs w:val="21"/>
                <w:highlight w:val="none"/>
              </w:rPr>
              <w:t>投标</w:t>
            </w:r>
            <w:r>
              <w:rPr>
                <w:rFonts w:hint="eastAsia"/>
                <w:color w:val="auto"/>
                <w:sz w:val="21"/>
                <w:highlight w:val="none"/>
              </w:rPr>
              <w:t>函填写</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按招标文件规定填报了项目名称、标段号、补遗书编号（如有）、投标报价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393" w:type="dxa"/>
            <w:vMerge w:val="continue"/>
            <w:noWrap w:val="0"/>
            <w:vAlign w:val="center"/>
          </w:tcPr>
          <w:p>
            <w:pPr>
              <w:ind w:left="420"/>
              <w:rPr>
                <w:color w:val="auto"/>
                <w:sz w:val="21"/>
                <w:highlight w:val="none"/>
              </w:rPr>
            </w:pPr>
          </w:p>
        </w:tc>
        <w:tc>
          <w:tcPr>
            <w:tcW w:w="630" w:type="dxa"/>
            <w:vMerge w:val="continue"/>
            <w:noWrap w:val="0"/>
            <w:vAlign w:val="center"/>
          </w:tcPr>
          <w:p>
            <w:pPr>
              <w:ind w:left="420"/>
              <w:rPr>
                <w:rFonts w:hint="eastAsia"/>
                <w:color w:val="auto"/>
                <w:sz w:val="21"/>
                <w:highlight w:val="none"/>
              </w:rPr>
            </w:pPr>
          </w:p>
        </w:tc>
        <w:tc>
          <w:tcPr>
            <w:tcW w:w="646" w:type="dxa"/>
            <w:vMerge w:val="continue"/>
            <w:noWrap w:val="0"/>
            <w:textDirection w:val="tbRlV"/>
            <w:vAlign w:val="center"/>
          </w:tcPr>
          <w:p>
            <w:pPr>
              <w:ind w:left="420"/>
              <w:rPr>
                <w:rFonts w:hint="eastAsia"/>
                <w:color w:val="auto"/>
                <w:sz w:val="21"/>
                <w:highlight w:val="none"/>
              </w:rPr>
            </w:pPr>
          </w:p>
        </w:tc>
        <w:tc>
          <w:tcPr>
            <w:tcW w:w="1992" w:type="dxa"/>
            <w:noWrap w:val="0"/>
            <w:vAlign w:val="center"/>
          </w:tcPr>
          <w:p>
            <w:pPr>
              <w:jc w:val="center"/>
              <w:rPr>
                <w:color w:val="auto"/>
                <w:sz w:val="21"/>
                <w:highlight w:val="none"/>
              </w:rPr>
            </w:pPr>
            <w:r>
              <w:rPr>
                <w:rFonts w:hint="eastAsia"/>
                <w:color w:val="auto"/>
                <w:sz w:val="21"/>
                <w:highlight w:val="none"/>
              </w:rPr>
              <w:t>已标价</w:t>
            </w:r>
            <w:r>
              <w:rPr>
                <w:rFonts w:hint="eastAsia"/>
                <w:color w:val="auto"/>
                <w:sz w:val="21"/>
                <w:szCs w:val="21"/>
                <w:highlight w:val="none"/>
              </w:rPr>
              <w:t>报价清单</w:t>
            </w:r>
            <w:r>
              <w:rPr>
                <w:rFonts w:hint="eastAsia"/>
                <w:color w:val="auto"/>
                <w:sz w:val="21"/>
                <w:highlight w:val="none"/>
              </w:rPr>
              <w:t>文字说明</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已标价报价清单文字说明与招标文件规定一致，未进行修改或删除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393"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文件</w:t>
            </w:r>
            <w:r>
              <w:rPr>
                <w:rFonts w:hint="eastAsia"/>
                <w:color w:val="auto"/>
                <w:sz w:val="21"/>
                <w:highlight w:val="none"/>
              </w:rPr>
              <w:t>填写及组成</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组成齐全，没有缺项或缺页，内容均按招标文件规定填写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93"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color w:val="auto"/>
                <w:sz w:val="21"/>
                <w:highlight w:val="none"/>
              </w:rPr>
            </w:pPr>
            <w:r>
              <w:rPr>
                <w:rFonts w:hint="eastAsia"/>
                <w:color w:val="auto"/>
                <w:sz w:val="21"/>
                <w:highlight w:val="none"/>
              </w:rPr>
              <w:t>文件签字盖章</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393"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color w:val="auto"/>
                <w:sz w:val="21"/>
                <w:highlight w:val="none"/>
              </w:rPr>
            </w:pPr>
            <w:r>
              <w:rPr>
                <w:rFonts w:hint="eastAsia"/>
                <w:color w:val="auto"/>
                <w:sz w:val="21"/>
                <w:highlight w:val="none"/>
              </w:rPr>
              <w:t>投标报价</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未超过招标人公布的最高投标限价，大写金额能够确定具体数值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393"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rFonts w:hint="eastAsia"/>
                <w:color w:val="auto"/>
                <w:sz w:val="21"/>
                <w:highlight w:val="none"/>
              </w:rPr>
            </w:pPr>
            <w:r>
              <w:rPr>
                <w:rFonts w:hint="eastAsia"/>
                <w:color w:val="auto"/>
                <w:sz w:val="21"/>
                <w:highlight w:val="none"/>
              </w:rPr>
              <w:t>投标报价唯一性</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rPr>
            </w:pPr>
            <w:r>
              <w:rPr>
                <w:rFonts w:hint="eastAsia" w:ascii="宋体" w:hAnsi="宋体" w:cs="宋体"/>
                <w:color w:val="auto"/>
                <w:sz w:val="21"/>
                <w:szCs w:val="21"/>
                <w:highlight w:val="none"/>
              </w:rPr>
              <w:t>同一投标人同一标段未提交两个以上不同的投标报价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1393"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rFonts w:hint="eastAsia"/>
                <w:color w:val="auto"/>
                <w:sz w:val="21"/>
                <w:highlight w:val="none"/>
              </w:rPr>
            </w:pPr>
            <w:r>
              <w:rPr>
                <w:rFonts w:hint="eastAsia"/>
                <w:color w:val="auto"/>
                <w:sz w:val="21"/>
                <w:highlight w:val="none"/>
              </w:rPr>
              <w:t>工程量固化清单</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393" w:type="dxa"/>
            <w:vMerge w:val="restart"/>
            <w:noWrap w:val="0"/>
            <w:vAlign w:val="center"/>
          </w:tcPr>
          <w:p>
            <w:pPr>
              <w:jc w:val="center"/>
              <w:rPr>
                <w:color w:val="auto"/>
                <w:sz w:val="21"/>
                <w:highlight w:val="none"/>
              </w:rPr>
            </w:pPr>
            <w:r>
              <w:rPr>
                <w:rFonts w:hint="eastAsia"/>
                <w:color w:val="auto"/>
                <w:sz w:val="21"/>
                <w:highlight w:val="none"/>
              </w:rPr>
              <w:t>2.1.2</w:t>
            </w:r>
          </w:p>
        </w:tc>
        <w:tc>
          <w:tcPr>
            <w:tcW w:w="630" w:type="dxa"/>
            <w:vMerge w:val="restart"/>
            <w:noWrap w:val="0"/>
            <w:vAlign w:val="center"/>
          </w:tcPr>
          <w:p>
            <w:pPr>
              <w:jc w:val="center"/>
              <w:rPr>
                <w:rFonts w:hint="eastAsia"/>
                <w:color w:val="auto"/>
                <w:sz w:val="21"/>
                <w:highlight w:val="none"/>
              </w:rPr>
            </w:pPr>
            <w:r>
              <w:rPr>
                <w:rFonts w:hint="eastAsia"/>
                <w:color w:val="auto"/>
                <w:sz w:val="21"/>
                <w:highlight w:val="none"/>
              </w:rPr>
              <w:t>第</w:t>
            </w:r>
          </w:p>
          <w:p>
            <w:pPr>
              <w:jc w:val="center"/>
              <w:rPr>
                <w:rFonts w:hint="eastAsia"/>
                <w:color w:val="auto"/>
                <w:sz w:val="21"/>
                <w:highlight w:val="none"/>
              </w:rPr>
            </w:pPr>
            <w:r>
              <w:rPr>
                <w:rFonts w:hint="eastAsia"/>
                <w:color w:val="auto"/>
                <w:sz w:val="21"/>
                <w:highlight w:val="none"/>
              </w:rPr>
              <w:t>一</w:t>
            </w:r>
          </w:p>
          <w:p>
            <w:pPr>
              <w:jc w:val="center"/>
              <w:rPr>
                <w:rFonts w:hint="eastAsia"/>
                <w:color w:val="auto"/>
                <w:sz w:val="21"/>
                <w:highlight w:val="none"/>
              </w:rPr>
            </w:pPr>
            <w:r>
              <w:rPr>
                <w:rFonts w:hint="eastAsia"/>
                <w:color w:val="auto"/>
                <w:sz w:val="21"/>
                <w:highlight w:val="none"/>
              </w:rPr>
              <w:t>个</w:t>
            </w:r>
          </w:p>
          <w:p>
            <w:pPr>
              <w:jc w:val="center"/>
              <w:rPr>
                <w:rFonts w:hint="eastAsia"/>
                <w:color w:val="auto"/>
                <w:sz w:val="21"/>
                <w:highlight w:val="none"/>
              </w:rPr>
            </w:pPr>
            <w:r>
              <w:rPr>
                <w:rFonts w:hint="eastAsia"/>
                <w:color w:val="auto"/>
                <w:sz w:val="21"/>
                <w:highlight w:val="none"/>
              </w:rPr>
              <w:t>信</w:t>
            </w:r>
          </w:p>
          <w:p>
            <w:pPr>
              <w:jc w:val="center"/>
              <w:rPr>
                <w:rFonts w:hint="eastAsia"/>
                <w:color w:val="auto"/>
                <w:sz w:val="21"/>
                <w:highlight w:val="none"/>
              </w:rPr>
            </w:pPr>
            <w:r>
              <w:rPr>
                <w:rFonts w:hint="eastAsia"/>
                <w:color w:val="auto"/>
                <w:sz w:val="21"/>
                <w:highlight w:val="none"/>
              </w:rPr>
              <w:t>封</w:t>
            </w:r>
          </w:p>
          <w:p>
            <w:pPr>
              <w:jc w:val="center"/>
              <w:rPr>
                <w:rFonts w:hint="eastAsia"/>
                <w:color w:val="auto"/>
                <w:sz w:val="21"/>
                <w:highlight w:val="none"/>
              </w:rPr>
            </w:pPr>
            <w:r>
              <w:rPr>
                <w:rFonts w:hint="eastAsia"/>
                <w:color w:val="auto"/>
                <w:sz w:val="21"/>
                <w:highlight w:val="none"/>
              </w:rPr>
              <w:t>︵</w:t>
            </w:r>
          </w:p>
          <w:p>
            <w:pPr>
              <w:jc w:val="center"/>
              <w:rPr>
                <w:color w:val="auto"/>
                <w:sz w:val="21"/>
                <w:highlight w:val="none"/>
              </w:rPr>
            </w:pPr>
            <w:r>
              <w:rPr>
                <w:rFonts w:hint="eastAsia"/>
                <w:color w:val="auto"/>
                <w:sz w:val="21"/>
                <w:highlight w:val="none"/>
              </w:rPr>
              <w:t>商</w:t>
            </w:r>
          </w:p>
          <w:p>
            <w:pPr>
              <w:jc w:val="center"/>
              <w:rPr>
                <w:rFonts w:hint="eastAsia"/>
                <w:color w:val="auto"/>
                <w:sz w:val="21"/>
                <w:highlight w:val="none"/>
              </w:rPr>
            </w:pPr>
            <w:r>
              <w:rPr>
                <w:rFonts w:hint="eastAsia"/>
                <w:color w:val="auto"/>
                <w:sz w:val="21"/>
                <w:highlight w:val="none"/>
              </w:rPr>
              <w:t>务</w:t>
            </w:r>
          </w:p>
          <w:p>
            <w:pPr>
              <w:jc w:val="center"/>
              <w:rPr>
                <w:rFonts w:hint="eastAsia"/>
                <w:color w:val="auto"/>
                <w:sz w:val="21"/>
                <w:highlight w:val="none"/>
              </w:rPr>
            </w:pPr>
            <w:r>
              <w:rPr>
                <w:rFonts w:hint="eastAsia"/>
                <w:color w:val="auto"/>
                <w:sz w:val="21"/>
                <w:highlight w:val="none"/>
              </w:rPr>
              <w:t>及</w:t>
            </w:r>
          </w:p>
          <w:p>
            <w:pPr>
              <w:jc w:val="center"/>
              <w:rPr>
                <w:rFonts w:hint="eastAsia"/>
                <w:color w:val="auto"/>
                <w:sz w:val="21"/>
                <w:highlight w:val="none"/>
              </w:rPr>
            </w:pPr>
            <w:r>
              <w:rPr>
                <w:rFonts w:hint="eastAsia"/>
                <w:color w:val="auto"/>
                <w:sz w:val="21"/>
                <w:highlight w:val="none"/>
              </w:rPr>
              <w:t>技</w:t>
            </w:r>
          </w:p>
          <w:p>
            <w:pPr>
              <w:jc w:val="center"/>
              <w:rPr>
                <w:color w:val="auto"/>
                <w:sz w:val="21"/>
                <w:highlight w:val="none"/>
              </w:rPr>
            </w:pPr>
            <w:r>
              <w:rPr>
                <w:rFonts w:hint="eastAsia"/>
                <w:color w:val="auto"/>
                <w:sz w:val="21"/>
                <w:highlight w:val="none"/>
              </w:rPr>
              <w:t>术</w:t>
            </w:r>
          </w:p>
          <w:p>
            <w:pPr>
              <w:jc w:val="center"/>
              <w:rPr>
                <w:color w:val="auto"/>
                <w:sz w:val="21"/>
                <w:highlight w:val="none"/>
              </w:rPr>
            </w:pPr>
            <w:r>
              <w:rPr>
                <w:rFonts w:hint="eastAsia"/>
                <w:color w:val="auto"/>
                <w:sz w:val="21"/>
                <w:highlight w:val="none"/>
              </w:rPr>
              <w:t>文</w:t>
            </w:r>
          </w:p>
          <w:p>
            <w:pPr>
              <w:jc w:val="center"/>
              <w:rPr>
                <w:rFonts w:hint="eastAsia"/>
                <w:color w:val="auto"/>
                <w:sz w:val="21"/>
                <w:highlight w:val="none"/>
              </w:rPr>
            </w:pPr>
            <w:r>
              <w:rPr>
                <w:rFonts w:hint="eastAsia"/>
                <w:color w:val="auto"/>
                <w:sz w:val="21"/>
                <w:highlight w:val="none"/>
              </w:rPr>
              <w:t>件</w:t>
            </w:r>
          </w:p>
          <w:p>
            <w:pPr>
              <w:rPr>
                <w:color w:val="auto"/>
                <w:sz w:val="21"/>
                <w:highlight w:val="none"/>
              </w:rPr>
            </w:pPr>
            <w:r>
              <w:rPr>
                <w:rFonts w:hint="eastAsia"/>
                <w:color w:val="auto"/>
                <w:sz w:val="21"/>
                <w:highlight w:val="none"/>
              </w:rPr>
              <w:t>︶</w:t>
            </w:r>
          </w:p>
        </w:tc>
        <w:tc>
          <w:tcPr>
            <w:tcW w:w="646" w:type="dxa"/>
            <w:vMerge w:val="restart"/>
            <w:noWrap w:val="0"/>
            <w:vAlign w:val="center"/>
          </w:tcPr>
          <w:p>
            <w:pPr>
              <w:jc w:val="center"/>
              <w:rPr>
                <w:rFonts w:hint="eastAsia"/>
                <w:color w:val="auto"/>
                <w:sz w:val="21"/>
                <w:highlight w:val="none"/>
              </w:rPr>
            </w:pPr>
            <w:r>
              <w:rPr>
                <w:color w:val="auto"/>
                <w:sz w:val="21"/>
                <w:highlight w:val="none"/>
              </w:rPr>
              <w:t>资</w:t>
            </w:r>
          </w:p>
          <w:p>
            <w:pPr>
              <w:jc w:val="center"/>
              <w:rPr>
                <w:rFonts w:hint="eastAsia"/>
                <w:color w:val="auto"/>
                <w:sz w:val="21"/>
                <w:highlight w:val="none"/>
              </w:rPr>
            </w:pPr>
            <w:r>
              <w:rPr>
                <w:color w:val="auto"/>
                <w:sz w:val="21"/>
                <w:highlight w:val="none"/>
              </w:rPr>
              <w:t>格</w:t>
            </w:r>
          </w:p>
          <w:p>
            <w:pPr>
              <w:jc w:val="center"/>
              <w:rPr>
                <w:rFonts w:hint="eastAsia"/>
                <w:color w:val="auto"/>
                <w:sz w:val="21"/>
                <w:highlight w:val="none"/>
              </w:rPr>
            </w:pPr>
            <w:r>
              <w:rPr>
                <w:color w:val="auto"/>
                <w:sz w:val="21"/>
                <w:highlight w:val="none"/>
              </w:rPr>
              <w:t>评</w:t>
            </w:r>
          </w:p>
          <w:p>
            <w:pPr>
              <w:jc w:val="center"/>
              <w:rPr>
                <w:rFonts w:hint="eastAsia"/>
                <w:color w:val="auto"/>
                <w:sz w:val="21"/>
                <w:highlight w:val="none"/>
              </w:rPr>
            </w:pPr>
            <w:r>
              <w:rPr>
                <w:color w:val="auto"/>
                <w:sz w:val="21"/>
                <w:highlight w:val="none"/>
              </w:rPr>
              <w:t>审</w:t>
            </w:r>
          </w:p>
          <w:p>
            <w:pPr>
              <w:jc w:val="center"/>
              <w:rPr>
                <w:rFonts w:hint="eastAsia"/>
                <w:color w:val="auto"/>
                <w:sz w:val="21"/>
                <w:highlight w:val="none"/>
              </w:rPr>
            </w:pPr>
            <w:r>
              <w:rPr>
                <w:color w:val="auto"/>
                <w:sz w:val="21"/>
                <w:highlight w:val="none"/>
              </w:rPr>
              <w:t>标</w:t>
            </w:r>
          </w:p>
          <w:p>
            <w:pPr>
              <w:jc w:val="center"/>
              <w:rPr>
                <w:color w:val="auto"/>
                <w:sz w:val="21"/>
                <w:highlight w:val="none"/>
              </w:rPr>
            </w:pPr>
            <w:r>
              <w:rPr>
                <w:color w:val="auto"/>
                <w:sz w:val="21"/>
                <w:highlight w:val="none"/>
              </w:rPr>
              <w:t>准</w:t>
            </w:r>
          </w:p>
        </w:tc>
        <w:tc>
          <w:tcPr>
            <w:tcW w:w="1992" w:type="dxa"/>
            <w:noWrap w:val="0"/>
            <w:vAlign w:val="center"/>
          </w:tcPr>
          <w:p>
            <w:pPr>
              <w:jc w:val="center"/>
              <w:rPr>
                <w:color w:val="auto"/>
                <w:sz w:val="21"/>
                <w:highlight w:val="none"/>
              </w:rPr>
            </w:pPr>
            <w:r>
              <w:rPr>
                <w:rFonts w:hint="eastAsia"/>
                <w:color w:val="auto"/>
                <w:sz w:val="21"/>
                <w:highlight w:val="none"/>
              </w:rPr>
              <w:t>营业执照、资质证书和基本账户开户许可证</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需具备有效的营业执照（或统一社会信用代码证书）、组织机构代码证、资质证书、安全生产许可证和基本账户开户许可证；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资质等级</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符合第二章“投标人须知”第 1.4.1 项“资质要求”的规定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rFonts w:hint="eastAsia"/>
                <w:color w:val="auto"/>
                <w:sz w:val="21"/>
                <w:highlight w:val="none"/>
              </w:rPr>
              <w:t>财务状况</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rPr>
            </w:pPr>
            <w:r>
              <w:rPr>
                <w:rFonts w:hint="eastAsia" w:ascii="宋体" w:hAnsi="宋体" w:cs="宋体"/>
                <w:color w:val="auto"/>
                <w:sz w:val="21"/>
                <w:szCs w:val="21"/>
                <w:highlight w:val="none"/>
              </w:rPr>
              <w:t>符合第二章“投标人须知”第 1.4.1 项“财务要求”的规定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类似项目业绩</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符合第二章“投标人须知”第 1.4.1 项“业绩要求”的规定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信誉</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符合第二章“投标人须知”第 1.4.1 项“信誉要求”的规定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rFonts w:hint="eastAsia"/>
                <w:color w:val="auto"/>
                <w:sz w:val="21"/>
                <w:szCs w:val="21"/>
                <w:highlight w:val="none"/>
              </w:rPr>
              <w:t>项目经理和项目总工资格</w:t>
            </w:r>
          </w:p>
        </w:tc>
        <w:tc>
          <w:tcPr>
            <w:tcW w:w="4683" w:type="dxa"/>
            <w:noWrap w:val="0"/>
            <w:vAlign w:val="center"/>
          </w:tcPr>
          <w:p>
            <w:pPr>
              <w:adjustRightInd w:val="0"/>
              <w:snapToGrid w:val="0"/>
              <w:spacing w:before="6" w:after="72" w:afterLines="30"/>
              <w:ind w:left="63" w:leftChars="30" w:right="63" w:rightChars="30"/>
              <w:rPr>
                <w:color w:val="auto"/>
                <w:sz w:val="21"/>
                <w:highlight w:val="none"/>
              </w:rPr>
            </w:pPr>
            <w:r>
              <w:rPr>
                <w:rFonts w:hint="eastAsia" w:ascii="宋体" w:hAnsi="宋体" w:cs="宋体"/>
                <w:color w:val="auto"/>
                <w:sz w:val="21"/>
                <w:szCs w:val="21"/>
                <w:highlight w:val="none"/>
              </w:rPr>
              <w:t>符合第二章“投标人须知”第 1.4.1 项“</w:t>
            </w:r>
            <w:r>
              <w:rPr>
                <w:rFonts w:hint="eastAsia"/>
                <w:color w:val="auto"/>
                <w:sz w:val="21"/>
                <w:szCs w:val="21"/>
                <w:highlight w:val="none"/>
              </w:rPr>
              <w:t>项目经理和项目</w:t>
            </w:r>
            <w:r>
              <w:rPr>
                <w:rFonts w:hint="eastAsia" w:ascii="宋体" w:hAnsi="宋体" w:cs="宋体"/>
                <w:color w:val="auto"/>
                <w:sz w:val="21"/>
                <w:szCs w:val="21"/>
                <w:highlight w:val="none"/>
              </w:rPr>
              <w:t>资格”的规定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其他要求</w:t>
            </w:r>
          </w:p>
        </w:tc>
        <w:tc>
          <w:tcPr>
            <w:tcW w:w="4683" w:type="dxa"/>
            <w:noWrap w:val="0"/>
            <w:vAlign w:val="center"/>
          </w:tcPr>
          <w:p>
            <w:pPr>
              <w:adjustRightInd w:val="0"/>
              <w:snapToGrid w:val="0"/>
              <w:spacing w:before="6" w:after="72" w:afterLines="30"/>
              <w:ind w:left="63" w:leftChars="30" w:right="63" w:rightChars="30"/>
              <w:rPr>
                <w:color w:val="auto"/>
                <w:sz w:val="21"/>
                <w:highlight w:val="none"/>
              </w:rPr>
            </w:pPr>
            <w:r>
              <w:rPr>
                <w:rFonts w:hint="eastAsia" w:ascii="宋体" w:hAnsi="宋体" w:cs="宋体"/>
                <w:color w:val="auto"/>
                <w:sz w:val="21"/>
                <w:szCs w:val="21"/>
                <w:highlight w:val="none"/>
              </w:rPr>
              <w:t>符合第二章“投标人须知”第 1.4.1 项“其他要求”的规定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rFonts w:hint="eastAsia" w:ascii="宋体" w:hAnsi="宋体" w:cs="宋体"/>
                <w:color w:val="auto"/>
                <w:sz w:val="21"/>
                <w:szCs w:val="21"/>
                <w:highlight w:val="none"/>
              </w:rPr>
              <w:t>企业名称和资质</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rPr>
            </w:pPr>
            <w:r>
              <w:rPr>
                <w:rFonts w:hint="eastAsia" w:ascii="宋体" w:hAnsi="宋体" w:cs="宋体"/>
                <w:color w:val="auto"/>
                <w:sz w:val="21"/>
                <w:szCs w:val="21"/>
                <w:highlight w:val="none"/>
              </w:rPr>
              <w:t>符合第二章“投标人须知”第1.4.5项“投标人名称和资质与名录中相应企业名称和资质完全一致”规定。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1393"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rFonts w:ascii="宋体" w:hAnsi="宋体" w:cs="宋体"/>
                <w:color w:val="auto"/>
                <w:sz w:val="21"/>
                <w:szCs w:val="22"/>
                <w:highlight w:val="none"/>
                <w:lang w:val="zh-CN" w:bidi="zh-CN"/>
              </w:rPr>
            </w:pPr>
            <w:r>
              <w:rPr>
                <w:rFonts w:hint="eastAsia"/>
                <w:color w:val="auto"/>
                <w:sz w:val="21"/>
                <w:highlight w:val="none"/>
              </w:rPr>
              <w:t>投标人不得存在的情形</w:t>
            </w:r>
          </w:p>
        </w:tc>
        <w:tc>
          <w:tcPr>
            <w:tcW w:w="4683" w:type="dxa"/>
            <w:noWrap w:val="0"/>
            <w:vAlign w:val="center"/>
          </w:tcPr>
          <w:p>
            <w:pPr>
              <w:adjustRightInd w:val="0"/>
              <w:snapToGrid w:val="0"/>
              <w:spacing w:before="6" w:after="72" w:afterLines="30"/>
              <w:ind w:left="63" w:leftChars="30" w:right="63" w:rightChars="30"/>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投标人不得存在第二章“投标人须知”第1.4.3项或第1.4.4项规定的任何一种情形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93" w:type="dxa"/>
            <w:noWrap w:val="0"/>
            <w:vAlign w:val="center"/>
          </w:tcPr>
          <w:p>
            <w:pPr>
              <w:pStyle w:val="9"/>
              <w:adjustRightInd w:val="0"/>
              <w:snapToGrid w:val="0"/>
              <w:jc w:val="center"/>
              <w:rPr>
                <w:rFonts w:hint="eastAsia" w:ascii="宋体" w:hAnsi="宋体" w:cs="宋体"/>
                <w:b/>
                <w:color w:val="auto"/>
                <w:sz w:val="21"/>
                <w:highlight w:val="none"/>
              </w:rPr>
            </w:pPr>
            <w:r>
              <w:rPr>
                <w:rFonts w:hint="eastAsia" w:ascii="宋体" w:hAnsi="宋体" w:cs="宋体"/>
                <w:b/>
                <w:color w:val="auto"/>
                <w:sz w:val="21"/>
                <w:highlight w:val="none"/>
              </w:rPr>
              <w:t>条款号</w:t>
            </w:r>
          </w:p>
        </w:tc>
        <w:tc>
          <w:tcPr>
            <w:tcW w:w="3268" w:type="dxa"/>
            <w:gridSpan w:val="3"/>
            <w:noWrap w:val="0"/>
            <w:vAlign w:val="center"/>
          </w:tcPr>
          <w:p>
            <w:pPr>
              <w:pStyle w:val="9"/>
              <w:adjustRightInd w:val="0"/>
              <w:snapToGrid w:val="0"/>
              <w:jc w:val="center"/>
              <w:rPr>
                <w:rFonts w:hint="eastAsia" w:ascii="宋体" w:hAnsi="宋体" w:cs="宋体"/>
                <w:b/>
                <w:color w:val="auto"/>
                <w:sz w:val="21"/>
                <w:highlight w:val="none"/>
              </w:rPr>
            </w:pPr>
            <w:r>
              <w:rPr>
                <w:rFonts w:hint="eastAsia" w:ascii="宋体" w:hAnsi="宋体" w:cs="宋体"/>
                <w:b/>
                <w:color w:val="auto"/>
                <w:sz w:val="21"/>
                <w:highlight w:val="none"/>
              </w:rPr>
              <w:t>条款内容</w:t>
            </w:r>
          </w:p>
        </w:tc>
        <w:tc>
          <w:tcPr>
            <w:tcW w:w="4683" w:type="dxa"/>
            <w:noWrap w:val="0"/>
            <w:vAlign w:val="center"/>
          </w:tcPr>
          <w:p>
            <w:pPr>
              <w:pStyle w:val="9"/>
              <w:adjustRightInd w:val="0"/>
              <w:snapToGrid w:val="0"/>
              <w:spacing w:before="6" w:after="72" w:afterLines="30"/>
              <w:ind w:left="63" w:leftChars="30" w:right="63" w:rightChars="30"/>
              <w:jc w:val="center"/>
              <w:rPr>
                <w:rFonts w:hint="eastAsia" w:ascii="宋体" w:hAnsi="宋体" w:cs="宋体"/>
                <w:b/>
                <w:color w:val="auto"/>
                <w:sz w:val="21"/>
                <w:highlight w:val="none"/>
              </w:rPr>
            </w:pPr>
            <w:r>
              <w:rPr>
                <w:rFonts w:hint="eastAsia" w:ascii="宋体" w:hAnsi="宋体" w:cs="宋体"/>
                <w:b/>
                <w:color w:val="auto"/>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393" w:type="dxa"/>
            <w:noWrap w:val="0"/>
            <w:vAlign w:val="center"/>
          </w:tcPr>
          <w:p>
            <w:pPr>
              <w:pStyle w:val="9"/>
              <w:tabs>
                <w:tab w:val="center" w:pos="995"/>
              </w:tabs>
              <w:adjustRightInd w:val="0"/>
              <w:snapToGrid w:val="0"/>
              <w:jc w:val="center"/>
              <w:rPr>
                <w:rFonts w:hint="eastAsia" w:ascii="宋体" w:hAnsi="宋体" w:cs="宋体"/>
                <w:color w:val="auto"/>
                <w:sz w:val="21"/>
                <w:highlight w:val="none"/>
              </w:rPr>
            </w:pPr>
            <w:r>
              <w:rPr>
                <w:rFonts w:hint="eastAsia" w:ascii="宋体" w:hAnsi="宋体" w:cs="宋体"/>
                <w:color w:val="auto"/>
                <w:sz w:val="21"/>
                <w:highlight w:val="none"/>
              </w:rPr>
              <w:t>2.2.1</w:t>
            </w:r>
          </w:p>
        </w:tc>
        <w:tc>
          <w:tcPr>
            <w:tcW w:w="3268" w:type="dxa"/>
            <w:gridSpan w:val="3"/>
            <w:noWrap w:val="0"/>
            <w:vAlign w:val="center"/>
          </w:tcPr>
          <w:p>
            <w:pPr>
              <w:pStyle w:val="9"/>
              <w:adjustRightInd w:val="0"/>
              <w:snapToGrid w:val="0"/>
              <w:jc w:val="center"/>
              <w:rPr>
                <w:rFonts w:hint="eastAsia" w:ascii="宋体" w:hAnsi="宋体" w:cs="宋体"/>
                <w:color w:val="auto"/>
                <w:sz w:val="21"/>
                <w:highlight w:val="none"/>
              </w:rPr>
            </w:pPr>
            <w:r>
              <w:rPr>
                <w:rFonts w:hint="eastAsia" w:cs="宋体"/>
                <w:color w:val="auto"/>
                <w:sz w:val="21"/>
                <w:highlight w:val="none"/>
              </w:rPr>
              <w:t>第一信封评分</w:t>
            </w:r>
            <w:r>
              <w:rPr>
                <w:rFonts w:hint="eastAsia" w:ascii="宋体" w:hAnsi="宋体" w:cs="宋体"/>
                <w:color w:val="auto"/>
                <w:sz w:val="21"/>
                <w:highlight w:val="none"/>
              </w:rPr>
              <w:t>分值构成（总分1</w:t>
            </w:r>
            <w:r>
              <w:rPr>
                <w:rFonts w:hint="eastAsia" w:cs="宋体"/>
                <w:color w:val="auto"/>
                <w:sz w:val="21"/>
                <w:highlight w:val="none"/>
              </w:rPr>
              <w:t>0</w:t>
            </w:r>
            <w:r>
              <w:rPr>
                <w:rFonts w:hint="eastAsia" w:ascii="宋体" w:hAnsi="宋体" w:cs="宋体"/>
                <w:color w:val="auto"/>
                <w:sz w:val="21"/>
                <w:highlight w:val="none"/>
              </w:rPr>
              <w:t>0分）</w:t>
            </w:r>
          </w:p>
        </w:tc>
        <w:tc>
          <w:tcPr>
            <w:tcW w:w="4683" w:type="dxa"/>
            <w:noWrap w:val="0"/>
            <w:vAlign w:val="center"/>
          </w:tcPr>
          <w:p>
            <w:pPr>
              <w:pStyle w:val="9"/>
              <w:adjustRightInd w:val="0"/>
              <w:snapToGrid w:val="0"/>
              <w:spacing w:before="6" w:after="72" w:afterLines="30"/>
              <w:ind w:left="63" w:leftChars="30" w:right="170"/>
              <w:jc w:val="both"/>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lang w:val="zh-CN" w:bidi="zh-CN"/>
              </w:rPr>
              <w:t>施工组织设计：40分</w:t>
            </w:r>
          </w:p>
          <w:p>
            <w:pPr>
              <w:pStyle w:val="9"/>
              <w:adjustRightInd w:val="0"/>
              <w:snapToGrid w:val="0"/>
              <w:spacing w:before="6" w:after="72" w:afterLines="30"/>
              <w:ind w:left="63" w:leftChars="30" w:right="170"/>
              <w:jc w:val="both"/>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lang w:val="en-US" w:bidi="zh-CN"/>
              </w:rPr>
              <w:t>主要人员</w:t>
            </w:r>
            <w:r>
              <w:rPr>
                <w:rFonts w:hint="eastAsia" w:ascii="宋体" w:hAnsi="宋体" w:cs="宋体"/>
                <w:color w:val="auto"/>
                <w:sz w:val="21"/>
                <w:szCs w:val="21"/>
                <w:highlight w:val="none"/>
                <w:lang w:val="zh-CN" w:bidi="zh-CN"/>
              </w:rPr>
              <w:t>： 2</w:t>
            </w:r>
            <w:r>
              <w:rPr>
                <w:rFonts w:hint="eastAsia" w:ascii="宋体" w:hAnsi="宋体" w:cs="宋体"/>
                <w:color w:val="auto"/>
                <w:sz w:val="21"/>
                <w:szCs w:val="21"/>
                <w:highlight w:val="none"/>
                <w:lang w:val="en-US" w:bidi="zh-CN"/>
              </w:rPr>
              <w:t>5</w:t>
            </w:r>
            <w:r>
              <w:rPr>
                <w:rFonts w:hint="eastAsia" w:ascii="宋体" w:hAnsi="宋体" w:cs="宋体"/>
                <w:color w:val="auto"/>
                <w:sz w:val="21"/>
                <w:szCs w:val="21"/>
                <w:highlight w:val="none"/>
                <w:lang w:val="zh-CN" w:bidi="zh-CN"/>
              </w:rPr>
              <w:t>分</w:t>
            </w:r>
          </w:p>
          <w:p>
            <w:pPr>
              <w:pStyle w:val="9"/>
              <w:adjustRightInd w:val="0"/>
              <w:snapToGrid w:val="0"/>
              <w:spacing w:before="6" w:after="72" w:afterLines="30"/>
              <w:ind w:left="63" w:leftChars="30" w:right="170"/>
              <w:jc w:val="both"/>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lang w:val="zh-CN" w:bidi="zh-CN"/>
              </w:rPr>
              <w:t>履约信誉：1</w:t>
            </w:r>
            <w:r>
              <w:rPr>
                <w:rFonts w:hint="eastAsia" w:ascii="宋体" w:hAnsi="宋体" w:cs="宋体"/>
                <w:color w:val="auto"/>
                <w:sz w:val="21"/>
                <w:szCs w:val="21"/>
                <w:highlight w:val="none"/>
                <w:lang w:val="en-US" w:bidi="zh-CN"/>
              </w:rPr>
              <w:t>0</w:t>
            </w:r>
            <w:r>
              <w:rPr>
                <w:rFonts w:hint="eastAsia" w:ascii="宋体" w:hAnsi="宋体" w:cs="宋体"/>
                <w:color w:val="auto"/>
                <w:sz w:val="21"/>
                <w:szCs w:val="21"/>
                <w:highlight w:val="none"/>
                <w:lang w:val="zh-CN" w:bidi="zh-CN"/>
              </w:rPr>
              <w:t>分</w:t>
            </w:r>
          </w:p>
          <w:p>
            <w:pPr>
              <w:pStyle w:val="9"/>
              <w:adjustRightInd w:val="0"/>
              <w:snapToGrid w:val="0"/>
              <w:spacing w:before="6" w:after="72" w:afterLines="30"/>
              <w:ind w:left="63" w:leftChars="30" w:right="170"/>
              <w:jc w:val="both"/>
              <w:rPr>
                <w:rFonts w:hint="eastAsia" w:ascii="宋体" w:hAnsi="宋体" w:cs="宋体"/>
                <w:color w:val="auto"/>
                <w:sz w:val="21"/>
                <w:highlight w:val="none"/>
              </w:rPr>
            </w:pPr>
            <w:r>
              <w:rPr>
                <w:rFonts w:hint="eastAsia" w:ascii="宋体" w:hAnsi="宋体" w:cs="宋体"/>
                <w:color w:val="auto"/>
                <w:sz w:val="21"/>
                <w:szCs w:val="21"/>
                <w:highlight w:val="none"/>
                <w:lang w:val="zh-CN" w:bidi="zh-CN"/>
              </w:rPr>
              <w:t>业绩：</w:t>
            </w:r>
            <w:r>
              <w:rPr>
                <w:rFonts w:hint="eastAsia" w:ascii="宋体" w:hAnsi="宋体" w:cs="宋体"/>
                <w:color w:val="auto"/>
                <w:sz w:val="21"/>
                <w:szCs w:val="21"/>
                <w:highlight w:val="none"/>
                <w:lang w:val="en-US" w:bidi="zh-CN"/>
              </w:rPr>
              <w:t>25</w:t>
            </w:r>
            <w:r>
              <w:rPr>
                <w:rFonts w:hint="eastAsia" w:ascii="宋体" w:hAnsi="宋体" w:cs="宋体"/>
                <w:color w:val="auto"/>
                <w:sz w:val="21"/>
                <w:szCs w:val="21"/>
                <w:highlight w:val="none"/>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393" w:type="dxa"/>
            <w:noWrap w:val="0"/>
            <w:vAlign w:val="center"/>
          </w:tcPr>
          <w:p>
            <w:pPr>
              <w:pStyle w:val="9"/>
              <w:adjustRightInd w:val="0"/>
              <w:snapToGrid w:val="0"/>
              <w:jc w:val="center"/>
              <w:rPr>
                <w:rFonts w:hint="eastAsia" w:ascii="宋体" w:hAnsi="宋体" w:cs="宋体"/>
                <w:color w:val="auto"/>
                <w:sz w:val="21"/>
                <w:highlight w:val="none"/>
              </w:rPr>
            </w:pPr>
            <w:r>
              <w:rPr>
                <w:rFonts w:hint="eastAsia" w:ascii="宋体" w:hAnsi="宋体" w:cs="宋体"/>
                <w:color w:val="auto"/>
                <w:sz w:val="21"/>
                <w:highlight w:val="none"/>
              </w:rPr>
              <w:t>2.2.3</w:t>
            </w:r>
          </w:p>
        </w:tc>
        <w:tc>
          <w:tcPr>
            <w:tcW w:w="3268" w:type="dxa"/>
            <w:gridSpan w:val="3"/>
            <w:noWrap w:val="0"/>
            <w:vAlign w:val="center"/>
          </w:tcPr>
          <w:p>
            <w:pPr>
              <w:pStyle w:val="9"/>
              <w:adjustRightInd w:val="0"/>
              <w:jc w:val="center"/>
              <w:rPr>
                <w:rFonts w:ascii="宋体" w:hAnsi="宋体" w:cs="宋体"/>
                <w:color w:val="auto"/>
                <w:sz w:val="21"/>
                <w:highlight w:val="none"/>
              </w:rPr>
            </w:pPr>
            <w:r>
              <w:rPr>
                <w:rFonts w:hint="eastAsia" w:cs="宋体"/>
                <w:color w:val="auto"/>
                <w:sz w:val="21"/>
                <w:highlight w:val="none"/>
              </w:rPr>
              <w:t>第二信封详细评审标准</w:t>
            </w:r>
          </w:p>
        </w:tc>
        <w:tc>
          <w:tcPr>
            <w:tcW w:w="4683" w:type="dxa"/>
            <w:noWrap w:val="0"/>
            <w:vAlign w:val="center"/>
          </w:tcPr>
          <w:p>
            <w:pPr>
              <w:pStyle w:val="9"/>
              <w:adjustRightInd w:val="0"/>
              <w:snapToGrid w:val="0"/>
              <w:spacing w:before="6" w:after="72" w:afterLines="30"/>
              <w:ind w:left="63" w:leftChars="30" w:right="170"/>
              <w:jc w:val="both"/>
              <w:rPr>
                <w:rFonts w:ascii="宋体" w:hAnsi="宋体" w:cs="宋体"/>
                <w:color w:val="auto"/>
                <w:sz w:val="21"/>
                <w:szCs w:val="21"/>
                <w:highlight w:val="none"/>
                <w:lang w:val="zh-CN" w:bidi="zh-CN"/>
              </w:rPr>
            </w:pPr>
            <w:r>
              <w:rPr>
                <w:rFonts w:ascii="宋体" w:hAnsi="宋体" w:cs="宋体"/>
                <w:color w:val="auto"/>
                <w:sz w:val="21"/>
                <w:szCs w:val="21"/>
                <w:highlight w:val="none"/>
                <w:lang w:val="zh-CN" w:bidi="zh-CN"/>
              </w:rPr>
              <w:t>评标价计算公式</w:t>
            </w:r>
            <w:r>
              <w:rPr>
                <w:rFonts w:hint="eastAsia" w:ascii="宋体" w:hAnsi="宋体" w:cs="宋体"/>
                <w:color w:val="auto"/>
                <w:sz w:val="21"/>
                <w:szCs w:val="21"/>
                <w:highlight w:val="none"/>
                <w:lang w:val="zh-CN" w:bidi="zh-CN"/>
              </w:rPr>
              <w:t>：</w:t>
            </w:r>
          </w:p>
          <w:p>
            <w:pPr>
              <w:pStyle w:val="9"/>
              <w:adjustRightInd w:val="0"/>
              <w:snapToGrid w:val="0"/>
              <w:spacing w:before="6" w:after="72" w:afterLines="30"/>
              <w:ind w:left="63" w:leftChars="30" w:right="170"/>
              <w:jc w:val="both"/>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lang w:val="zh-CN" w:bidi="zh-CN"/>
              </w:rPr>
              <w:t>评标价＝投标函文字报价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jc w:val="center"/>
        </w:trPr>
        <w:tc>
          <w:tcPr>
            <w:tcW w:w="1393" w:type="dxa"/>
            <w:noWrap w:val="0"/>
            <w:vAlign w:val="center"/>
          </w:tcPr>
          <w:p>
            <w:pPr>
              <w:pStyle w:val="9"/>
              <w:adjustRightInd w:val="0"/>
              <w:snapToGrid w:val="0"/>
              <w:jc w:val="center"/>
              <w:rPr>
                <w:rFonts w:hint="eastAsia" w:ascii="宋体" w:hAnsi="宋体" w:cs="宋体"/>
                <w:color w:val="auto"/>
                <w:sz w:val="21"/>
                <w:highlight w:val="none"/>
              </w:rPr>
            </w:pPr>
            <w:r>
              <w:rPr>
                <w:rFonts w:hint="eastAsia" w:cs="宋体"/>
                <w:color w:val="auto"/>
                <w:sz w:val="21"/>
                <w:highlight w:val="none"/>
              </w:rPr>
              <w:t>3</w:t>
            </w:r>
            <w:r>
              <w:rPr>
                <w:rFonts w:hint="eastAsia" w:ascii="宋体" w:hAnsi="宋体" w:cs="宋体"/>
                <w:color w:val="auto"/>
                <w:sz w:val="21"/>
                <w:highlight w:val="none"/>
              </w:rPr>
              <w:t>.2.4</w:t>
            </w:r>
          </w:p>
        </w:tc>
        <w:tc>
          <w:tcPr>
            <w:tcW w:w="3268" w:type="dxa"/>
            <w:gridSpan w:val="3"/>
            <w:noWrap w:val="0"/>
            <w:vAlign w:val="center"/>
          </w:tcPr>
          <w:p>
            <w:pPr>
              <w:pStyle w:val="9"/>
              <w:adjustRightInd w:val="0"/>
              <w:snapToGrid w:val="0"/>
              <w:jc w:val="center"/>
              <w:rPr>
                <w:rFonts w:hint="eastAsia" w:ascii="宋体" w:hAnsi="宋体" w:cs="宋体"/>
                <w:color w:val="auto"/>
                <w:sz w:val="21"/>
                <w:highlight w:val="none"/>
              </w:rPr>
            </w:pPr>
            <w:r>
              <w:rPr>
                <w:rFonts w:hint="eastAsia" w:ascii="宋体" w:hAnsi="宋体" w:cs="宋体"/>
                <w:color w:val="auto"/>
                <w:sz w:val="21"/>
                <w:highlight w:val="none"/>
              </w:rPr>
              <w:t>通过第一个信封详细评审的投标人数量</w:t>
            </w:r>
          </w:p>
        </w:tc>
        <w:tc>
          <w:tcPr>
            <w:tcW w:w="4683" w:type="dxa"/>
            <w:noWrap w:val="0"/>
            <w:vAlign w:val="center"/>
          </w:tcPr>
          <w:p>
            <w:pPr>
              <w:pStyle w:val="9"/>
              <w:adjustRightInd w:val="0"/>
              <w:snapToGrid w:val="0"/>
              <w:spacing w:before="6" w:after="72" w:afterLines="30"/>
              <w:ind w:left="63" w:leftChars="30" w:right="170"/>
              <w:jc w:val="both"/>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lang w:val="zh-CN" w:eastAsia="zh-CN" w:bidi="zh-CN"/>
              </w:rPr>
              <w:t>按照投标人的商务及技术文件得分由高到低排序，选择前 3 名通过详细评审（若该数量最后一名存在投标人的得分排名相同时，相同排名的投标人均通过详细评审）</w:t>
            </w:r>
          </w:p>
        </w:tc>
      </w:tr>
    </w:tbl>
    <w:p>
      <w:pPr>
        <w:pStyle w:val="5"/>
        <w:adjustRightInd w:val="0"/>
        <w:snapToGrid w:val="0"/>
        <w:spacing w:line="336" w:lineRule="auto"/>
        <w:rPr>
          <w:rFonts w:hint="eastAsia"/>
          <w:b/>
          <w:bCs/>
          <w:color w:val="auto"/>
          <w:sz w:val="28"/>
          <w:highlight w:val="none"/>
        </w:rPr>
      </w:pPr>
    </w:p>
    <w:tbl>
      <w:tblPr>
        <w:tblStyle w:val="7"/>
        <w:tblpPr w:leftFromText="180" w:rightFromText="180" w:vertAnchor="text" w:horzAnchor="page" w:tblpX="1260" w:tblpY="230"/>
        <w:tblOverlap w:val="never"/>
        <w:tblW w:w="9262" w:type="dxa"/>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25"/>
        <w:gridCol w:w="620"/>
        <w:gridCol w:w="592"/>
        <w:gridCol w:w="1053"/>
        <w:gridCol w:w="2248"/>
        <w:gridCol w:w="720"/>
        <w:gridCol w:w="30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66" w:hRule="atLeast"/>
        </w:trPr>
        <w:tc>
          <w:tcPr>
            <w:tcW w:w="9262" w:type="dxa"/>
            <w:gridSpan w:val="7"/>
            <w:noWrap w:val="0"/>
            <w:vAlign w:val="center"/>
          </w:tcPr>
          <w:p>
            <w:pPr>
              <w:spacing w:line="36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评分因素与权重分值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6" w:hRule="atLeast"/>
        </w:trPr>
        <w:tc>
          <w:tcPr>
            <w:tcW w:w="1025" w:type="dxa"/>
            <w:noWrap w:val="0"/>
            <w:vAlign w:val="center"/>
          </w:tcPr>
          <w:p>
            <w:pPr>
              <w:adjustRightInd w:val="0"/>
              <w:snapToGrid w:val="0"/>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条款号</w:t>
            </w:r>
          </w:p>
        </w:tc>
        <w:tc>
          <w:tcPr>
            <w:tcW w:w="1212" w:type="dxa"/>
            <w:gridSpan w:val="2"/>
            <w:noWrap w:val="0"/>
            <w:vAlign w:val="center"/>
          </w:tcPr>
          <w:p>
            <w:pPr>
              <w:autoSpaceDE/>
              <w:autoSpaceDN/>
              <w:adjustRightInd w:val="0"/>
              <w:snapToGrid w:val="0"/>
              <w:jc w:val="center"/>
              <w:rPr>
                <w:rFonts w:hint="eastAsia" w:ascii="宋体" w:hAnsi="宋体" w:cs="宋体"/>
                <w:b/>
                <w:bCs/>
                <w:color w:val="auto"/>
                <w:spacing w:val="-10"/>
                <w:sz w:val="21"/>
                <w:szCs w:val="21"/>
                <w:highlight w:val="none"/>
              </w:rPr>
            </w:pPr>
            <w:r>
              <w:rPr>
                <w:rFonts w:hint="eastAsia" w:ascii="宋体" w:hAnsi="宋体" w:cs="宋体"/>
                <w:b/>
                <w:bCs/>
                <w:color w:val="auto"/>
                <w:spacing w:val="-10"/>
                <w:sz w:val="21"/>
                <w:szCs w:val="21"/>
                <w:highlight w:val="none"/>
              </w:rPr>
              <w:t>评分因素</w:t>
            </w:r>
          </w:p>
        </w:tc>
        <w:tc>
          <w:tcPr>
            <w:tcW w:w="1053" w:type="dxa"/>
            <w:noWrap w:val="0"/>
            <w:vAlign w:val="center"/>
          </w:tcPr>
          <w:p>
            <w:pPr>
              <w:autoSpaceDE/>
              <w:autoSpaceDN/>
              <w:adjustRightInd w:val="0"/>
              <w:snapToGrid w:val="0"/>
              <w:jc w:val="center"/>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rPr>
              <w:t>评分因素     权重分值</w:t>
            </w:r>
          </w:p>
        </w:tc>
        <w:tc>
          <w:tcPr>
            <w:tcW w:w="2248" w:type="dxa"/>
            <w:noWrap w:val="0"/>
            <w:vAlign w:val="center"/>
          </w:tcPr>
          <w:p>
            <w:pPr>
              <w:autoSpaceDE/>
              <w:autoSpaceDN/>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各评分因素细分项</w:t>
            </w:r>
          </w:p>
        </w:tc>
        <w:tc>
          <w:tcPr>
            <w:tcW w:w="720" w:type="dxa"/>
            <w:noWrap w:val="0"/>
            <w:vAlign w:val="center"/>
          </w:tcPr>
          <w:p>
            <w:pPr>
              <w:autoSpaceDE/>
              <w:autoSpaceDN/>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3004" w:type="dxa"/>
            <w:noWrap w:val="0"/>
            <w:vAlign w:val="center"/>
          </w:tcPr>
          <w:p>
            <w:pPr>
              <w:autoSpaceDE/>
              <w:autoSpaceDN/>
              <w:adjustRightInd w:val="0"/>
              <w:snapToGrid w:val="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92" w:hRule="atLeast"/>
        </w:trPr>
        <w:tc>
          <w:tcPr>
            <w:tcW w:w="1025" w:type="dxa"/>
            <w:vMerge w:val="restart"/>
            <w:noWrap w:val="0"/>
            <w:vAlign w:val="center"/>
          </w:tcPr>
          <w:p>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2.2.2（1）</w:t>
            </w:r>
          </w:p>
        </w:tc>
        <w:tc>
          <w:tcPr>
            <w:tcW w:w="1212" w:type="dxa"/>
            <w:gridSpan w:val="2"/>
            <w:vMerge w:val="restart"/>
            <w:noWrap w:val="0"/>
            <w:vAlign w:val="center"/>
          </w:tcPr>
          <w:p>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施工组织设计</w:t>
            </w:r>
          </w:p>
        </w:tc>
        <w:tc>
          <w:tcPr>
            <w:tcW w:w="1053"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default" w:cs="宋体"/>
                <w:color w:val="auto"/>
                <w:sz w:val="21"/>
                <w:szCs w:val="21"/>
                <w:highlight w:val="none"/>
                <w:u w:val="single"/>
                <w:lang w:val="en-US" w:eastAsia="zh-CN"/>
              </w:rPr>
            </w:pPr>
            <w:r>
              <w:rPr>
                <w:rFonts w:hint="eastAsia" w:cs="宋体"/>
                <w:color w:val="auto"/>
                <w:sz w:val="21"/>
                <w:szCs w:val="21"/>
                <w:highlight w:val="none"/>
                <w:u w:val="single"/>
                <w:lang w:val="en-US" w:eastAsia="zh-CN"/>
              </w:rPr>
              <w:t>40分</w:t>
            </w:r>
          </w:p>
        </w:tc>
        <w:tc>
          <w:tcPr>
            <w:tcW w:w="22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 w:eastAsia="zh-CN" w:bidi="ar-SA"/>
              </w:rPr>
            </w:pPr>
            <w:r>
              <w:rPr>
                <w:rFonts w:hint="eastAsia" w:ascii="宋体" w:hAnsi="宋体" w:eastAsia="宋体" w:cs="宋体"/>
                <w:snapToGrid w:val="0"/>
                <w:color w:val="auto"/>
                <w:spacing w:val="-2"/>
                <w:sz w:val="21"/>
                <w:szCs w:val="21"/>
                <w:highlight w:val="none"/>
                <w:lang w:val="en-US" w:eastAsia="zh-CN" w:bidi="ar-SA"/>
              </w:rPr>
              <w:t>总体计划安排</w:t>
            </w:r>
          </w:p>
        </w:tc>
        <w:tc>
          <w:tcPr>
            <w:tcW w:w="720" w:type="dxa"/>
            <w:noWrap w:val="0"/>
            <w:vAlign w:val="center"/>
          </w:tcPr>
          <w:p>
            <w:pPr>
              <w:pStyle w:val="9"/>
              <w:tabs>
                <w:tab w:val="left" w:pos="452"/>
              </w:tabs>
              <w:adjustRightInd w:val="0"/>
              <w:snapToGrid w:val="0"/>
              <w:spacing w:before="72" w:beforeLines="30" w:after="72" w:afterLines="30"/>
              <w:ind w:left="63" w:leftChars="30" w:right="63" w:rightChars="30"/>
              <w:jc w:val="center"/>
              <w:rPr>
                <w:rFonts w:hint="default" w:cs="宋体"/>
                <w:color w:val="auto"/>
                <w:sz w:val="21"/>
                <w:szCs w:val="21"/>
                <w:highlight w:val="none"/>
                <w:u w:val="single"/>
                <w:lang w:val="en-US" w:eastAsia="zh-CN"/>
              </w:rPr>
            </w:pPr>
            <w:r>
              <w:rPr>
                <w:rFonts w:hint="eastAsia" w:cs="宋体"/>
                <w:color w:val="auto"/>
                <w:sz w:val="21"/>
                <w:szCs w:val="21"/>
                <w:highlight w:val="none"/>
                <w:u w:val="single"/>
                <w:lang w:val="en-US" w:eastAsia="zh-CN"/>
              </w:rPr>
              <w:t>8分</w:t>
            </w:r>
          </w:p>
        </w:tc>
        <w:tc>
          <w:tcPr>
            <w:tcW w:w="3004" w:type="dxa"/>
            <w:noWrap w:val="0"/>
            <w:vAlign w:val="center"/>
          </w:tcPr>
          <w:p>
            <w:pPr>
              <w:pStyle w:val="9"/>
              <w:adjustRightInd w:val="0"/>
              <w:snapToGrid w:val="0"/>
              <w:spacing w:before="72" w:beforeLines="30" w:after="72" w:afterLines="30"/>
              <w:ind w:left="63" w:leftChars="30" w:right="63" w:rightChars="30"/>
              <w:jc w:val="both"/>
              <w:rPr>
                <w:rFonts w:hint="eastAsia"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zh-CN" w:bidi="ar-SA"/>
              </w:rPr>
              <w:t>总体计划安排</w:t>
            </w:r>
            <w:r>
              <w:rPr>
                <w:rFonts w:hint="eastAsia" w:cs="宋体"/>
                <w:color w:val="auto"/>
                <w:sz w:val="21"/>
                <w:szCs w:val="21"/>
                <w:highlight w:val="none"/>
                <w:lang w:val="en-US" w:eastAsia="zh-CN"/>
              </w:rPr>
              <w:t>合理得 7～8分，较合理得5.9～6.9分，一般得4.8～5.8分。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1025" w:type="dxa"/>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212" w:type="dxa"/>
            <w:gridSpan w:val="2"/>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05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US" w:eastAsia="zh-CN"/>
              </w:rPr>
            </w:pPr>
          </w:p>
        </w:tc>
        <w:tc>
          <w:tcPr>
            <w:tcW w:w="22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 w:eastAsia="zh-CN" w:bidi="ar-SA"/>
              </w:rPr>
            </w:pPr>
            <w:r>
              <w:rPr>
                <w:rFonts w:hint="eastAsia" w:ascii="宋体" w:hAnsi="宋体" w:eastAsia="宋体" w:cs="宋体"/>
                <w:snapToGrid w:val="0"/>
                <w:color w:val="auto"/>
                <w:spacing w:val="-2"/>
                <w:sz w:val="21"/>
                <w:szCs w:val="21"/>
                <w:highlight w:val="none"/>
                <w:lang w:val="en-US" w:eastAsia="zh-CN" w:bidi="ar-SA"/>
              </w:rPr>
              <w:t>技术方案</w:t>
            </w:r>
          </w:p>
        </w:tc>
        <w:tc>
          <w:tcPr>
            <w:tcW w:w="720" w:type="dxa"/>
            <w:noWrap w:val="0"/>
            <w:vAlign w:val="center"/>
          </w:tcPr>
          <w:p>
            <w:pPr>
              <w:pStyle w:val="9"/>
              <w:tabs>
                <w:tab w:val="left" w:pos="452"/>
              </w:tabs>
              <w:adjustRightInd w:val="0"/>
              <w:snapToGrid w:val="0"/>
              <w:spacing w:before="72" w:beforeLines="30" w:after="72" w:afterLines="30"/>
              <w:ind w:left="63" w:leftChars="30" w:right="63" w:rightChars="30"/>
              <w:jc w:val="center"/>
              <w:rPr>
                <w:rFonts w:hint="default" w:cs="宋体"/>
                <w:color w:val="auto"/>
                <w:sz w:val="21"/>
                <w:szCs w:val="21"/>
                <w:highlight w:val="none"/>
                <w:u w:val="single"/>
                <w:lang w:val="en-US" w:eastAsia="zh-CN"/>
              </w:rPr>
            </w:pPr>
            <w:r>
              <w:rPr>
                <w:rFonts w:hint="eastAsia" w:cs="宋体"/>
                <w:color w:val="auto"/>
                <w:sz w:val="21"/>
                <w:szCs w:val="21"/>
                <w:highlight w:val="none"/>
                <w:u w:val="single"/>
                <w:lang w:val="en-US" w:eastAsia="zh-CN"/>
              </w:rPr>
              <w:t>8分</w:t>
            </w:r>
          </w:p>
        </w:tc>
        <w:tc>
          <w:tcPr>
            <w:tcW w:w="3004" w:type="dxa"/>
            <w:noWrap w:val="0"/>
            <w:vAlign w:val="center"/>
          </w:tcPr>
          <w:p>
            <w:pPr>
              <w:pStyle w:val="9"/>
              <w:adjustRightInd w:val="0"/>
              <w:snapToGrid w:val="0"/>
              <w:spacing w:before="72" w:beforeLines="30" w:after="72" w:afterLines="30"/>
              <w:ind w:left="63" w:leftChars="30" w:right="63" w:rightChars="30"/>
              <w:jc w:val="both"/>
              <w:rPr>
                <w:rFonts w:hint="eastAsia"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zh-CN" w:bidi="ar-SA"/>
              </w:rPr>
              <w:t>技术方案</w:t>
            </w:r>
            <w:r>
              <w:rPr>
                <w:rFonts w:hint="eastAsia" w:cs="宋体"/>
                <w:color w:val="auto"/>
                <w:sz w:val="21"/>
                <w:szCs w:val="21"/>
                <w:highlight w:val="none"/>
                <w:lang w:val="en-US" w:eastAsia="zh-CN"/>
              </w:rPr>
              <w:t>合理得 7～8分，较合理得5.9～6.9分，一般得4.8～5.8分。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69" w:hRule="atLeast"/>
        </w:trPr>
        <w:tc>
          <w:tcPr>
            <w:tcW w:w="1025" w:type="dxa"/>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212" w:type="dxa"/>
            <w:gridSpan w:val="2"/>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05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US" w:eastAsia="zh-CN"/>
              </w:rPr>
            </w:pPr>
          </w:p>
        </w:tc>
        <w:tc>
          <w:tcPr>
            <w:tcW w:w="22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 w:eastAsia="zh-CN" w:bidi="ar-SA"/>
              </w:rPr>
            </w:pPr>
            <w:r>
              <w:rPr>
                <w:rFonts w:hint="eastAsia" w:ascii="宋体" w:hAnsi="宋体" w:eastAsia="宋体" w:cs="宋体"/>
                <w:snapToGrid w:val="0"/>
                <w:color w:val="auto"/>
                <w:spacing w:val="-2"/>
                <w:sz w:val="21"/>
                <w:szCs w:val="21"/>
                <w:highlight w:val="none"/>
                <w:lang w:val="en-US" w:eastAsia="zh-CN" w:bidi="ar-SA"/>
              </w:rPr>
              <w:t>人员培训方案</w:t>
            </w:r>
          </w:p>
        </w:tc>
        <w:tc>
          <w:tcPr>
            <w:tcW w:w="720" w:type="dxa"/>
            <w:noWrap w:val="0"/>
            <w:vAlign w:val="center"/>
          </w:tcPr>
          <w:p>
            <w:pPr>
              <w:pStyle w:val="9"/>
              <w:tabs>
                <w:tab w:val="left" w:pos="452"/>
              </w:tabs>
              <w:adjustRightInd w:val="0"/>
              <w:snapToGrid w:val="0"/>
              <w:spacing w:before="72" w:beforeLines="30" w:after="72" w:afterLines="30"/>
              <w:ind w:left="63" w:leftChars="30" w:right="63" w:rightChars="30"/>
              <w:jc w:val="center"/>
              <w:rPr>
                <w:rFonts w:hint="eastAsia" w:cs="宋体"/>
                <w:color w:val="auto"/>
                <w:sz w:val="21"/>
                <w:szCs w:val="21"/>
                <w:highlight w:val="none"/>
                <w:u w:val="single"/>
                <w:lang w:val="en-US" w:eastAsia="zh-CN"/>
              </w:rPr>
            </w:pPr>
            <w:r>
              <w:rPr>
                <w:rFonts w:hint="eastAsia" w:cs="宋体"/>
                <w:color w:val="auto"/>
                <w:sz w:val="21"/>
                <w:szCs w:val="21"/>
                <w:highlight w:val="none"/>
                <w:u w:val="single"/>
                <w:lang w:val="en-US" w:eastAsia="zh-CN"/>
              </w:rPr>
              <w:t>8分</w:t>
            </w:r>
          </w:p>
        </w:tc>
        <w:tc>
          <w:tcPr>
            <w:tcW w:w="3004" w:type="dxa"/>
            <w:noWrap w:val="0"/>
            <w:vAlign w:val="center"/>
          </w:tcPr>
          <w:p>
            <w:pPr>
              <w:pStyle w:val="9"/>
              <w:adjustRightInd w:val="0"/>
              <w:snapToGrid w:val="0"/>
              <w:spacing w:before="72" w:beforeLines="30" w:after="72" w:afterLines="30"/>
              <w:ind w:left="63" w:leftChars="30" w:right="63" w:rightChars="30"/>
              <w:jc w:val="both"/>
              <w:rPr>
                <w:rFonts w:hint="eastAsia"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zh-CN" w:bidi="ar-SA"/>
              </w:rPr>
              <w:t>人员培训方案</w:t>
            </w:r>
            <w:r>
              <w:rPr>
                <w:rFonts w:hint="eastAsia" w:cs="宋体"/>
                <w:color w:val="auto"/>
                <w:sz w:val="21"/>
                <w:szCs w:val="21"/>
                <w:highlight w:val="none"/>
                <w:lang w:val="en-US" w:eastAsia="zh-CN"/>
              </w:rPr>
              <w:t>合理得 7～8分，较合理得5.9～6.9分，一般得4.8～5.8分。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56" w:hRule="atLeast"/>
        </w:trPr>
        <w:tc>
          <w:tcPr>
            <w:tcW w:w="1025" w:type="dxa"/>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212" w:type="dxa"/>
            <w:gridSpan w:val="2"/>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05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US" w:eastAsia="zh-CN"/>
              </w:rPr>
            </w:pPr>
          </w:p>
        </w:tc>
        <w:tc>
          <w:tcPr>
            <w:tcW w:w="22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 w:eastAsia="zh-CN" w:bidi="ar-SA"/>
              </w:rPr>
            </w:pPr>
            <w:r>
              <w:rPr>
                <w:rFonts w:hint="eastAsia" w:ascii="宋体" w:hAnsi="宋体" w:eastAsia="宋体" w:cs="宋体"/>
                <w:snapToGrid w:val="0"/>
                <w:color w:val="auto"/>
                <w:spacing w:val="-2"/>
                <w:sz w:val="21"/>
                <w:szCs w:val="21"/>
                <w:highlight w:val="none"/>
                <w:lang w:val="en-US" w:eastAsia="zh-CN" w:bidi="ar-SA"/>
              </w:rPr>
              <w:t>测试及试运行方案</w:t>
            </w:r>
          </w:p>
        </w:tc>
        <w:tc>
          <w:tcPr>
            <w:tcW w:w="720" w:type="dxa"/>
            <w:noWrap w:val="0"/>
            <w:vAlign w:val="center"/>
          </w:tcPr>
          <w:p>
            <w:pPr>
              <w:pStyle w:val="9"/>
              <w:tabs>
                <w:tab w:val="left" w:pos="452"/>
              </w:tabs>
              <w:adjustRightInd w:val="0"/>
              <w:snapToGrid w:val="0"/>
              <w:spacing w:before="72" w:beforeLines="30" w:after="72" w:afterLines="30"/>
              <w:ind w:left="63" w:leftChars="30" w:right="63" w:rightChars="30"/>
              <w:jc w:val="center"/>
              <w:rPr>
                <w:rFonts w:hint="eastAsia" w:cs="宋体"/>
                <w:color w:val="auto"/>
                <w:sz w:val="21"/>
                <w:szCs w:val="21"/>
                <w:highlight w:val="none"/>
                <w:u w:val="single"/>
                <w:lang w:val="en-US" w:eastAsia="zh-CN"/>
              </w:rPr>
            </w:pPr>
            <w:r>
              <w:rPr>
                <w:rFonts w:hint="eastAsia" w:cs="宋体"/>
                <w:color w:val="auto"/>
                <w:sz w:val="21"/>
                <w:szCs w:val="21"/>
                <w:highlight w:val="none"/>
                <w:u w:val="single"/>
                <w:lang w:val="en-US" w:eastAsia="zh-CN"/>
              </w:rPr>
              <w:t>8分</w:t>
            </w:r>
          </w:p>
        </w:tc>
        <w:tc>
          <w:tcPr>
            <w:tcW w:w="3004" w:type="dxa"/>
            <w:noWrap w:val="0"/>
            <w:vAlign w:val="center"/>
          </w:tcPr>
          <w:p>
            <w:pPr>
              <w:pStyle w:val="9"/>
              <w:adjustRightInd w:val="0"/>
              <w:snapToGrid w:val="0"/>
              <w:spacing w:before="72" w:beforeLines="30" w:after="72" w:afterLines="30"/>
              <w:ind w:left="63" w:leftChars="30" w:right="63" w:rightChars="30"/>
              <w:jc w:val="both"/>
              <w:rPr>
                <w:rFonts w:hint="eastAsia"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zh-CN" w:bidi="ar-SA"/>
              </w:rPr>
              <w:t>测试及试运行方案</w:t>
            </w:r>
            <w:r>
              <w:rPr>
                <w:rFonts w:hint="eastAsia" w:cs="宋体"/>
                <w:color w:val="auto"/>
                <w:sz w:val="21"/>
                <w:szCs w:val="21"/>
                <w:highlight w:val="none"/>
                <w:lang w:val="en-US" w:eastAsia="zh-CN"/>
              </w:rPr>
              <w:t>合理得 7～8分，较合理得5.9～6.9分，一般得4.8～5.8分。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1025" w:type="dxa"/>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212" w:type="dxa"/>
            <w:gridSpan w:val="2"/>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05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US" w:eastAsia="zh-CN"/>
              </w:rPr>
            </w:pPr>
          </w:p>
        </w:tc>
        <w:tc>
          <w:tcPr>
            <w:tcW w:w="22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 w:eastAsia="zh-CN" w:bidi="ar-SA"/>
              </w:rPr>
            </w:pPr>
            <w:r>
              <w:rPr>
                <w:rFonts w:hint="eastAsia" w:ascii="宋体" w:hAnsi="宋体" w:eastAsia="宋体" w:cs="宋体"/>
                <w:snapToGrid w:val="0"/>
                <w:color w:val="auto"/>
                <w:spacing w:val="-2"/>
                <w:sz w:val="21"/>
                <w:szCs w:val="21"/>
                <w:highlight w:val="none"/>
                <w:lang w:val="en-US" w:eastAsia="zh-CN" w:bidi="ar-SA"/>
              </w:rPr>
              <w:t>售后服务</w:t>
            </w:r>
          </w:p>
        </w:tc>
        <w:tc>
          <w:tcPr>
            <w:tcW w:w="720" w:type="dxa"/>
            <w:noWrap w:val="0"/>
            <w:vAlign w:val="center"/>
          </w:tcPr>
          <w:p>
            <w:pPr>
              <w:pStyle w:val="9"/>
              <w:tabs>
                <w:tab w:val="left" w:pos="452"/>
              </w:tabs>
              <w:adjustRightInd w:val="0"/>
              <w:snapToGrid w:val="0"/>
              <w:spacing w:before="72" w:beforeLines="30" w:after="72" w:afterLines="30"/>
              <w:ind w:left="63" w:leftChars="30" w:right="63" w:rightChars="30"/>
              <w:jc w:val="center"/>
              <w:rPr>
                <w:rFonts w:hint="eastAsia" w:cs="宋体"/>
                <w:color w:val="auto"/>
                <w:sz w:val="21"/>
                <w:szCs w:val="21"/>
                <w:highlight w:val="none"/>
                <w:u w:val="single"/>
                <w:lang w:val="en-US" w:eastAsia="zh-CN"/>
              </w:rPr>
            </w:pPr>
            <w:r>
              <w:rPr>
                <w:rFonts w:hint="eastAsia" w:cs="宋体"/>
                <w:color w:val="auto"/>
                <w:sz w:val="21"/>
                <w:szCs w:val="21"/>
                <w:highlight w:val="none"/>
                <w:u w:val="single"/>
                <w:lang w:val="en-US" w:eastAsia="zh-CN"/>
              </w:rPr>
              <w:t>8分</w:t>
            </w:r>
          </w:p>
        </w:tc>
        <w:tc>
          <w:tcPr>
            <w:tcW w:w="3004" w:type="dxa"/>
            <w:noWrap w:val="0"/>
            <w:vAlign w:val="center"/>
          </w:tcPr>
          <w:p>
            <w:pPr>
              <w:pStyle w:val="9"/>
              <w:adjustRightInd w:val="0"/>
              <w:snapToGrid w:val="0"/>
              <w:spacing w:before="72" w:beforeLines="30" w:after="72" w:afterLines="30"/>
              <w:ind w:left="63" w:leftChars="30" w:right="63" w:rightChars="30"/>
              <w:jc w:val="both"/>
              <w:rPr>
                <w:rFonts w:hint="eastAsia"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zh-CN" w:bidi="ar-SA"/>
              </w:rPr>
              <w:t>售后服务</w:t>
            </w:r>
            <w:r>
              <w:rPr>
                <w:rFonts w:hint="eastAsia" w:cs="宋体"/>
                <w:color w:val="auto"/>
                <w:sz w:val="21"/>
                <w:szCs w:val="21"/>
                <w:highlight w:val="none"/>
                <w:lang w:val="en-US" w:eastAsia="zh-CN"/>
              </w:rPr>
              <w:t>合理得 7～8分，较合理得5.9～6.9分，一般得4.8～5.8分。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31" w:hRule="atLeast"/>
        </w:trPr>
        <w:tc>
          <w:tcPr>
            <w:tcW w:w="1025" w:type="dxa"/>
            <w:vMerge w:val="restart"/>
            <w:noWrap w:val="0"/>
            <w:vAlign w:val="center"/>
          </w:tcPr>
          <w:p>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2.2.2（2）</w:t>
            </w:r>
          </w:p>
        </w:tc>
        <w:tc>
          <w:tcPr>
            <w:tcW w:w="1212" w:type="dxa"/>
            <w:gridSpan w:val="2"/>
            <w:vMerge w:val="restart"/>
            <w:noWrap w:val="0"/>
            <w:vAlign w:val="center"/>
          </w:tcPr>
          <w:p>
            <w:pPr>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主要人员</w:t>
            </w:r>
          </w:p>
        </w:tc>
        <w:tc>
          <w:tcPr>
            <w:tcW w:w="1053"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default" w:cs="宋体"/>
                <w:color w:val="auto"/>
                <w:sz w:val="21"/>
                <w:szCs w:val="21"/>
                <w:highlight w:val="none"/>
                <w:u w:val="single"/>
                <w:lang w:val="en-US" w:eastAsia="zh-CN"/>
              </w:rPr>
            </w:pPr>
            <w:r>
              <w:rPr>
                <w:rFonts w:hint="eastAsia" w:cs="宋体"/>
                <w:color w:val="auto"/>
                <w:sz w:val="21"/>
                <w:szCs w:val="21"/>
                <w:highlight w:val="none"/>
                <w:u w:val="single"/>
                <w:lang w:val="en-US" w:eastAsia="zh-CN"/>
              </w:rPr>
              <w:t>25分</w:t>
            </w:r>
          </w:p>
        </w:tc>
        <w:tc>
          <w:tcPr>
            <w:tcW w:w="22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default" w:ascii="宋体" w:hAnsi="宋体" w:eastAsia="宋体" w:cs="宋体"/>
                <w:snapToGrid w:val="0"/>
                <w:color w:val="auto"/>
                <w:spacing w:val="-2"/>
                <w:sz w:val="21"/>
                <w:szCs w:val="21"/>
                <w:highlight w:val="none"/>
                <w:lang w:val="en-US" w:eastAsia="zh-CN" w:bidi="ar-SA"/>
              </w:rPr>
            </w:pPr>
            <w:r>
              <w:rPr>
                <w:rFonts w:hint="eastAsia" w:ascii="宋体" w:hAnsi="宋体" w:eastAsia="宋体" w:cs="宋体"/>
                <w:snapToGrid w:val="0"/>
                <w:color w:val="auto"/>
                <w:spacing w:val="-2"/>
                <w:sz w:val="21"/>
                <w:szCs w:val="21"/>
                <w:highlight w:val="none"/>
                <w:lang w:val="en-US" w:eastAsia="zh-CN" w:bidi="ar-SA"/>
              </w:rPr>
              <w:t>基本分</w:t>
            </w:r>
          </w:p>
        </w:tc>
        <w:tc>
          <w:tcPr>
            <w:tcW w:w="720" w:type="dxa"/>
            <w:noWrap w:val="0"/>
            <w:vAlign w:val="center"/>
          </w:tcPr>
          <w:p>
            <w:pPr>
              <w:pStyle w:val="9"/>
              <w:tabs>
                <w:tab w:val="left" w:pos="452"/>
              </w:tabs>
              <w:adjustRightInd w:val="0"/>
              <w:snapToGrid w:val="0"/>
              <w:spacing w:before="72" w:beforeLines="30" w:after="72" w:afterLines="30"/>
              <w:ind w:left="63" w:leftChars="30" w:right="63" w:rightChars="30"/>
              <w:jc w:val="center"/>
              <w:rPr>
                <w:rFonts w:hint="default" w:cs="宋体"/>
                <w:color w:val="auto"/>
                <w:sz w:val="21"/>
                <w:szCs w:val="21"/>
                <w:highlight w:val="none"/>
                <w:u w:val="single"/>
                <w:lang w:val="en-US" w:eastAsia="zh-CN"/>
              </w:rPr>
            </w:pPr>
            <w:r>
              <w:rPr>
                <w:rFonts w:hint="eastAsia" w:cs="宋体"/>
                <w:color w:val="auto"/>
                <w:sz w:val="21"/>
                <w:szCs w:val="21"/>
                <w:highlight w:val="none"/>
                <w:u w:val="single"/>
                <w:lang w:val="en-US" w:eastAsia="zh-CN"/>
              </w:rPr>
              <w:t>15分</w:t>
            </w:r>
          </w:p>
        </w:tc>
        <w:tc>
          <w:tcPr>
            <w:tcW w:w="3004" w:type="dxa"/>
            <w:noWrap w:val="0"/>
            <w:vAlign w:val="center"/>
          </w:tcPr>
          <w:p>
            <w:pPr>
              <w:pStyle w:val="9"/>
              <w:adjustRightInd w:val="0"/>
              <w:snapToGrid w:val="0"/>
              <w:spacing w:before="72" w:beforeLines="30" w:after="72" w:afterLines="30"/>
              <w:ind w:left="63" w:leftChars="30" w:right="63" w:rightChars="3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满足招标文件资格审查条件要求的得15分。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55" w:hRule="atLeast"/>
        </w:trPr>
        <w:tc>
          <w:tcPr>
            <w:tcW w:w="1025" w:type="dxa"/>
            <w:vMerge w:val="continue"/>
            <w:noWrap w:val="0"/>
            <w:vAlign w:val="center"/>
          </w:tcPr>
          <w:p>
            <w:pPr>
              <w:adjustRightInd w:val="0"/>
              <w:snapToGrid w:val="0"/>
              <w:jc w:val="center"/>
              <w:rPr>
                <w:rFonts w:hint="eastAsia" w:ascii="宋体" w:hAnsi="宋体" w:cs="宋体"/>
                <w:color w:val="auto"/>
                <w:sz w:val="21"/>
                <w:szCs w:val="21"/>
                <w:highlight w:val="none"/>
                <w:lang w:val="en-US" w:eastAsia="zh-CN"/>
              </w:rPr>
            </w:pPr>
          </w:p>
        </w:tc>
        <w:tc>
          <w:tcPr>
            <w:tcW w:w="1212" w:type="dxa"/>
            <w:gridSpan w:val="2"/>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05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US" w:eastAsia="zh-CN"/>
              </w:rPr>
            </w:pPr>
          </w:p>
        </w:tc>
        <w:tc>
          <w:tcPr>
            <w:tcW w:w="22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default" w:ascii="宋体" w:hAnsi="宋体" w:eastAsia="宋体" w:cs="宋体"/>
                <w:snapToGrid w:val="0"/>
                <w:color w:val="auto"/>
                <w:spacing w:val="-2"/>
                <w:sz w:val="21"/>
                <w:szCs w:val="21"/>
                <w:highlight w:val="none"/>
                <w:lang w:val="en-US" w:eastAsia="zh-CN" w:bidi="ar-SA"/>
              </w:rPr>
            </w:pPr>
            <w:r>
              <w:rPr>
                <w:rFonts w:hint="eastAsia" w:eastAsia="宋体" w:cs="宋体"/>
                <w:color w:val="auto"/>
                <w:sz w:val="21"/>
                <w:szCs w:val="21"/>
                <w:highlight w:val="none"/>
                <w:lang w:val="en-US" w:eastAsia="zh-CN"/>
              </w:rPr>
              <w:t>项目经理</w:t>
            </w:r>
          </w:p>
        </w:tc>
        <w:tc>
          <w:tcPr>
            <w:tcW w:w="72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default" w:cs="宋体"/>
                <w:color w:val="auto"/>
                <w:sz w:val="21"/>
                <w:szCs w:val="21"/>
                <w:highlight w:val="none"/>
                <w:u w:val="single"/>
                <w:lang w:val="en-US" w:eastAsia="zh-CN"/>
              </w:rPr>
            </w:pPr>
            <w:r>
              <w:rPr>
                <w:rFonts w:hint="eastAsia" w:cs="宋体"/>
                <w:color w:val="auto"/>
                <w:sz w:val="21"/>
                <w:szCs w:val="21"/>
                <w:highlight w:val="none"/>
                <w:u w:val="single"/>
                <w:lang w:val="en-US" w:eastAsia="zh-CN"/>
              </w:rPr>
              <w:t>5分</w:t>
            </w:r>
          </w:p>
        </w:tc>
        <w:tc>
          <w:tcPr>
            <w:tcW w:w="30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拟任项目经理具有副高级及以上职称的加5分。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70" w:hRule="atLeast"/>
        </w:trPr>
        <w:tc>
          <w:tcPr>
            <w:tcW w:w="1025" w:type="dxa"/>
            <w:vMerge w:val="continue"/>
            <w:noWrap w:val="0"/>
            <w:vAlign w:val="center"/>
          </w:tcPr>
          <w:p>
            <w:pPr>
              <w:adjustRightInd w:val="0"/>
              <w:snapToGrid w:val="0"/>
              <w:jc w:val="center"/>
              <w:rPr>
                <w:rFonts w:hint="eastAsia" w:ascii="宋体" w:hAnsi="宋体" w:cs="宋体"/>
                <w:color w:val="auto"/>
                <w:sz w:val="21"/>
                <w:szCs w:val="21"/>
                <w:highlight w:val="none"/>
                <w:lang w:val="en-US" w:eastAsia="zh-CN"/>
              </w:rPr>
            </w:pPr>
          </w:p>
        </w:tc>
        <w:tc>
          <w:tcPr>
            <w:tcW w:w="1212" w:type="dxa"/>
            <w:gridSpan w:val="2"/>
            <w:vMerge w:val="continue"/>
            <w:noWrap w:val="0"/>
            <w:vAlign w:val="center"/>
          </w:tcPr>
          <w:p>
            <w:pPr>
              <w:adjustRightInd w:val="0"/>
              <w:snapToGrid w:val="0"/>
              <w:jc w:val="center"/>
              <w:rPr>
                <w:rFonts w:hint="eastAsia" w:ascii="宋体" w:hAnsi="宋体" w:cs="宋体"/>
                <w:color w:val="auto"/>
                <w:sz w:val="21"/>
                <w:szCs w:val="21"/>
                <w:highlight w:val="none"/>
              </w:rPr>
            </w:pPr>
          </w:p>
        </w:tc>
        <w:tc>
          <w:tcPr>
            <w:tcW w:w="1053"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center"/>
              <w:textAlignment w:val="baseline"/>
              <w:rPr>
                <w:rFonts w:hint="eastAsia" w:cs="宋体"/>
                <w:color w:val="auto"/>
                <w:sz w:val="21"/>
                <w:szCs w:val="21"/>
                <w:highlight w:val="none"/>
                <w:u w:val="single"/>
                <w:lang w:val="en-US" w:eastAsia="zh-CN"/>
              </w:rPr>
            </w:pPr>
          </w:p>
        </w:tc>
        <w:tc>
          <w:tcPr>
            <w:tcW w:w="22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napToGrid w:val="0"/>
                <w:color w:val="auto"/>
                <w:spacing w:val="-2"/>
                <w:sz w:val="21"/>
                <w:szCs w:val="21"/>
                <w:highlight w:val="none"/>
                <w:lang w:val="en-US" w:eastAsia="zh-CN" w:bidi="ar-SA"/>
              </w:rPr>
            </w:pPr>
            <w:r>
              <w:rPr>
                <w:rFonts w:hint="default" w:cs="宋体"/>
                <w:color w:val="auto"/>
                <w:sz w:val="21"/>
                <w:szCs w:val="21"/>
                <w:highlight w:val="none"/>
                <w:lang w:val="en" w:eastAsia="zh-CN"/>
              </w:rPr>
              <w:t>项目总工</w:t>
            </w:r>
          </w:p>
        </w:tc>
        <w:tc>
          <w:tcPr>
            <w:tcW w:w="72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cs="宋体"/>
                <w:color w:val="auto"/>
                <w:sz w:val="21"/>
                <w:szCs w:val="21"/>
                <w:highlight w:val="none"/>
                <w:u w:val="single"/>
                <w:lang w:val="en-US" w:eastAsia="zh-CN"/>
              </w:rPr>
            </w:pPr>
            <w:r>
              <w:rPr>
                <w:rFonts w:hint="eastAsia" w:cs="宋体"/>
                <w:color w:val="auto"/>
                <w:sz w:val="21"/>
                <w:szCs w:val="21"/>
                <w:highlight w:val="none"/>
                <w:u w:val="single"/>
                <w:lang w:val="en-US" w:eastAsia="zh-CN"/>
              </w:rPr>
              <w:t>5分</w:t>
            </w:r>
          </w:p>
        </w:tc>
        <w:tc>
          <w:tcPr>
            <w:tcW w:w="30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拟任项目总工具有副高级及以上职称的加</w:t>
            </w:r>
            <w:r>
              <w:rPr>
                <w:rFonts w:hint="eastAsia"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en-US" w:eastAsia="zh-CN"/>
              </w:rPr>
              <w:t>分</w:t>
            </w:r>
            <w:r>
              <w:rPr>
                <w:rFonts w:hint="eastAsia" w:cs="宋体"/>
                <w:color w:val="auto"/>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41" w:hRule="atLeast"/>
        </w:trPr>
        <w:tc>
          <w:tcPr>
            <w:tcW w:w="1025" w:type="dxa"/>
            <w:vMerge w:val="restart"/>
            <w:noWrap w:val="0"/>
            <w:vAlign w:val="center"/>
          </w:tcPr>
          <w:p>
            <w:pPr>
              <w:spacing w:line="480" w:lineRule="exact"/>
              <w:jc w:val="center"/>
              <w:rPr>
                <w:rFonts w:hint="default" w:ascii="宋体" w:hAnsi="宋体" w:eastAsia="宋体" w:cs="宋体"/>
                <w:color w:val="auto"/>
                <w:sz w:val="21"/>
                <w:szCs w:val="21"/>
                <w:highlight w:val="none"/>
                <w:lang w:val="en-US" w:eastAsia="zh-CN"/>
              </w:rPr>
            </w:pPr>
            <w:bookmarkStart w:id="4" w:name="_bookmark95"/>
            <w:bookmarkEnd w:id="4"/>
            <w:r>
              <w:rPr>
                <w:rFonts w:hint="eastAsia" w:ascii="宋体" w:hAnsi="宋体" w:cs="宋体"/>
                <w:color w:val="auto"/>
                <w:sz w:val="21"/>
                <w:szCs w:val="21"/>
                <w:highlight w:val="none"/>
                <w:lang w:val="en-US" w:eastAsia="zh-CN"/>
              </w:rPr>
              <w:t>2.2.2（3）</w:t>
            </w:r>
          </w:p>
        </w:tc>
        <w:tc>
          <w:tcPr>
            <w:tcW w:w="620" w:type="dxa"/>
            <w:vMerge w:val="restart"/>
            <w:noWrap w:val="0"/>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其他因素</w:t>
            </w:r>
          </w:p>
        </w:tc>
        <w:tc>
          <w:tcPr>
            <w:tcW w:w="592" w:type="dxa"/>
            <w:noWrap w:val="0"/>
            <w:vAlign w:val="center"/>
          </w:tcPr>
          <w:p>
            <w:pPr>
              <w:autoSpaceDE/>
              <w:autoSpaceDN/>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履约 信誉</w:t>
            </w:r>
          </w:p>
        </w:tc>
        <w:tc>
          <w:tcPr>
            <w:tcW w:w="1053" w:type="dxa"/>
            <w:noWrap w:val="0"/>
            <w:vAlign w:val="center"/>
          </w:tcPr>
          <w:p>
            <w:pPr>
              <w:adjustRightInd w:val="0"/>
              <w:snapToGrid w:val="0"/>
              <w:jc w:val="center"/>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single"/>
              </w:rPr>
              <w:t>分</w:t>
            </w:r>
          </w:p>
        </w:tc>
        <w:tc>
          <w:tcPr>
            <w:tcW w:w="5972" w:type="dxa"/>
            <w:gridSpan w:val="3"/>
            <w:noWrap w:val="0"/>
            <w:vAlign w:val="center"/>
          </w:tcPr>
          <w:p>
            <w:pPr>
              <w:adjustRightInd w:val="0"/>
              <w:snapToGrid w:val="0"/>
              <w:spacing w:before="72" w:beforeLines="30" w:after="72" w:afterLines="30" w:line="320" w:lineRule="exact"/>
              <w:ind w:left="105" w:leftChars="50" w:right="105" w:rightChars="50"/>
              <w:rPr>
                <w:rFonts w:hint="eastAsia" w:ascii="宋体" w:hAnsi="宋体" w:cs="宋体"/>
                <w:color w:val="auto"/>
                <w:sz w:val="21"/>
                <w:szCs w:val="21"/>
                <w:highlight w:val="none"/>
              </w:rPr>
            </w:pPr>
            <w:r>
              <w:rPr>
                <w:rFonts w:hint="eastAsia" w:ascii="宋体" w:hAnsi="宋体" w:cs="宋体"/>
                <w:color w:val="auto"/>
                <w:sz w:val="21"/>
                <w:szCs w:val="21"/>
                <w:highlight w:val="none"/>
              </w:rPr>
              <w:t>被评为B级（含B级）以上的得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分，C级的得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p>
            <w:pPr>
              <w:adjustRightInd w:val="0"/>
              <w:snapToGrid w:val="0"/>
              <w:spacing w:before="72" w:beforeLines="30" w:after="72" w:afterLines="30" w:line="320" w:lineRule="exact"/>
              <w:ind w:left="105" w:leftChars="50" w:right="105" w:rightChars="50"/>
              <w:rPr>
                <w:rFonts w:hint="eastAsia"/>
                <w:color w:val="auto"/>
                <w:highlight w:val="none"/>
              </w:rPr>
            </w:pPr>
            <w:r>
              <w:rPr>
                <w:rFonts w:hint="eastAsia" w:ascii="宋体" w:hAnsi="宋体" w:cs="宋体"/>
                <w:color w:val="auto"/>
                <w:sz w:val="21"/>
                <w:szCs w:val="21"/>
                <w:highlight w:val="none"/>
              </w:rPr>
              <w:t>采用江西省交通运输厅最新发布的交通建设市场相关公告企业名单中机电序列的信用评价结果，未参与信用评价的从业单位均按B级信用对待。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72" w:hRule="atLeast"/>
        </w:trPr>
        <w:tc>
          <w:tcPr>
            <w:tcW w:w="1025" w:type="dxa"/>
            <w:vMerge w:val="continue"/>
            <w:noWrap w:val="0"/>
            <w:vAlign w:val="center"/>
          </w:tcPr>
          <w:p>
            <w:pPr>
              <w:spacing w:line="400" w:lineRule="exact"/>
              <w:rPr>
                <w:rFonts w:hint="eastAsia" w:ascii="宋体" w:hAnsi="宋体" w:cs="宋体"/>
                <w:color w:val="auto"/>
                <w:sz w:val="21"/>
                <w:szCs w:val="21"/>
                <w:highlight w:val="none"/>
              </w:rPr>
            </w:pPr>
          </w:p>
        </w:tc>
        <w:tc>
          <w:tcPr>
            <w:tcW w:w="620" w:type="dxa"/>
            <w:vMerge w:val="continue"/>
            <w:noWrap w:val="0"/>
            <w:vAlign w:val="center"/>
          </w:tcPr>
          <w:p>
            <w:pPr>
              <w:adjustRightInd w:val="0"/>
              <w:snapToGrid w:val="0"/>
              <w:rPr>
                <w:rFonts w:hint="eastAsia" w:ascii="宋体" w:hAnsi="宋体" w:cs="宋体"/>
                <w:color w:val="auto"/>
                <w:sz w:val="21"/>
                <w:szCs w:val="21"/>
                <w:highlight w:val="none"/>
              </w:rPr>
            </w:pPr>
          </w:p>
        </w:tc>
        <w:tc>
          <w:tcPr>
            <w:tcW w:w="592" w:type="dxa"/>
            <w:vMerge w:val="restart"/>
            <w:noWrap w:val="0"/>
            <w:vAlign w:val="center"/>
          </w:tcPr>
          <w:p>
            <w:pPr>
              <w:adjustRightInd w:val="0"/>
              <w:snapToGrid w:val="0"/>
              <w:ind w:left="210" w:hanging="210" w:hangingChars="1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业绩</w:t>
            </w:r>
          </w:p>
        </w:tc>
        <w:tc>
          <w:tcPr>
            <w:tcW w:w="1053" w:type="dxa"/>
            <w:vMerge w:val="restart"/>
            <w:noWrap w:val="0"/>
            <w:vAlign w:val="center"/>
          </w:tcPr>
          <w:p>
            <w:pPr>
              <w:adjustRightInd w:val="0"/>
              <w:snapToGrid w:val="0"/>
              <w:jc w:val="center"/>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25</w:t>
            </w:r>
            <w:r>
              <w:rPr>
                <w:rFonts w:hint="eastAsia" w:ascii="宋体" w:hAnsi="宋体" w:cs="宋体"/>
                <w:color w:val="auto"/>
                <w:sz w:val="21"/>
                <w:szCs w:val="21"/>
                <w:highlight w:val="none"/>
                <w:u w:val="single"/>
              </w:rPr>
              <w:t>分</w:t>
            </w:r>
          </w:p>
        </w:tc>
        <w:tc>
          <w:tcPr>
            <w:tcW w:w="5972" w:type="dxa"/>
            <w:gridSpan w:val="3"/>
            <w:noWrap w:val="0"/>
            <w:vAlign w:val="center"/>
          </w:tcPr>
          <w:p>
            <w:pPr>
              <w:adjustRightInd w:val="0"/>
              <w:snapToGrid w:val="0"/>
              <w:spacing w:before="72" w:beforeLines="30" w:after="72" w:afterLines="30" w:line="320" w:lineRule="exact"/>
              <w:ind w:left="105" w:leftChars="50" w:right="105" w:rightChars="50"/>
              <w:rPr>
                <w:rFonts w:ascii="宋体" w:hAnsi="宋体" w:cs="宋体"/>
                <w:color w:val="auto"/>
                <w:sz w:val="21"/>
                <w:szCs w:val="21"/>
                <w:highlight w:val="none"/>
              </w:rPr>
            </w:pPr>
            <w:r>
              <w:rPr>
                <w:rFonts w:hint="eastAsia" w:ascii="宋体" w:hAnsi="宋体" w:cs="宋体"/>
                <w:color w:val="auto"/>
                <w:sz w:val="21"/>
                <w:szCs w:val="21"/>
                <w:highlight w:val="none"/>
              </w:rPr>
              <w:t>满足资格审查要求的得</w:t>
            </w:r>
            <w:r>
              <w:rPr>
                <w:rFonts w:hint="eastAsia" w:cs="宋体"/>
                <w:color w:val="auto"/>
                <w:sz w:val="21"/>
                <w:szCs w:val="21"/>
                <w:highlight w:val="none"/>
              </w:rPr>
              <w:t>基本分</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r>
              <w:rPr>
                <w:rFonts w:hint="eastAsia"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22" w:hRule="atLeast"/>
        </w:trPr>
        <w:tc>
          <w:tcPr>
            <w:tcW w:w="1025" w:type="dxa"/>
            <w:vMerge w:val="continue"/>
            <w:noWrap w:val="0"/>
            <w:vAlign w:val="center"/>
          </w:tcPr>
          <w:p>
            <w:pPr>
              <w:adjustRightInd w:val="0"/>
              <w:snapToGrid w:val="0"/>
              <w:spacing w:before="72" w:beforeLines="30" w:after="72" w:afterLines="30" w:line="320" w:lineRule="exact"/>
              <w:ind w:left="105" w:leftChars="50" w:right="105" w:rightChars="50"/>
              <w:rPr>
                <w:color w:val="auto"/>
                <w:highlight w:val="none"/>
              </w:rPr>
            </w:pPr>
          </w:p>
        </w:tc>
        <w:tc>
          <w:tcPr>
            <w:tcW w:w="620" w:type="dxa"/>
            <w:vMerge w:val="continue"/>
            <w:noWrap w:val="0"/>
            <w:vAlign w:val="center"/>
          </w:tcPr>
          <w:p>
            <w:pPr>
              <w:adjustRightInd w:val="0"/>
              <w:snapToGrid w:val="0"/>
              <w:spacing w:before="72" w:beforeLines="30" w:after="72" w:afterLines="30" w:line="320" w:lineRule="exact"/>
              <w:ind w:left="105" w:leftChars="50" w:right="105" w:rightChars="50"/>
              <w:rPr>
                <w:color w:val="auto"/>
                <w:highlight w:val="none"/>
              </w:rPr>
            </w:pPr>
          </w:p>
        </w:tc>
        <w:tc>
          <w:tcPr>
            <w:tcW w:w="592" w:type="dxa"/>
            <w:vMerge w:val="continue"/>
            <w:noWrap w:val="0"/>
            <w:vAlign w:val="center"/>
          </w:tcPr>
          <w:p>
            <w:pPr>
              <w:adjustRightInd w:val="0"/>
              <w:snapToGrid w:val="0"/>
              <w:spacing w:before="72" w:beforeLines="30" w:after="72" w:afterLines="30" w:line="320" w:lineRule="exact"/>
              <w:ind w:left="105" w:leftChars="50" w:right="105" w:rightChars="50"/>
              <w:rPr>
                <w:color w:val="auto"/>
                <w:highlight w:val="none"/>
              </w:rPr>
            </w:pPr>
          </w:p>
        </w:tc>
        <w:tc>
          <w:tcPr>
            <w:tcW w:w="1053" w:type="dxa"/>
            <w:vMerge w:val="continue"/>
            <w:noWrap w:val="0"/>
            <w:vAlign w:val="center"/>
          </w:tcPr>
          <w:p>
            <w:pPr>
              <w:adjustRightInd w:val="0"/>
              <w:snapToGrid w:val="0"/>
              <w:spacing w:before="72" w:beforeLines="30" w:after="72" w:afterLines="30" w:line="320" w:lineRule="exact"/>
              <w:ind w:left="105" w:leftChars="50" w:right="105" w:rightChars="50"/>
              <w:rPr>
                <w:color w:val="auto"/>
                <w:highlight w:val="none"/>
              </w:rPr>
            </w:pPr>
          </w:p>
        </w:tc>
        <w:tc>
          <w:tcPr>
            <w:tcW w:w="5972" w:type="dxa"/>
            <w:gridSpan w:val="3"/>
            <w:noWrap w:val="0"/>
            <w:vAlign w:val="center"/>
          </w:tcPr>
          <w:p>
            <w:pPr>
              <w:adjustRightInd w:val="0"/>
              <w:snapToGrid w:val="0"/>
              <w:spacing w:before="72" w:beforeLines="30" w:after="72" w:afterLines="30" w:line="320" w:lineRule="exact"/>
              <w:ind w:left="105" w:leftChars="50" w:right="105" w:rightChars="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投标人近 5 年每完成一个合同金额</w:t>
            </w:r>
            <w:r>
              <w:rPr>
                <w:rFonts w:hint="eastAsia" w:ascii="宋体" w:hAnsi="宋体" w:cs="宋体"/>
                <w:color w:val="auto"/>
                <w:sz w:val="21"/>
                <w:szCs w:val="21"/>
                <w:highlight w:val="none"/>
                <w:lang w:val="en-US" w:eastAsia="zh-CN"/>
              </w:rPr>
              <w:t>950</w:t>
            </w:r>
            <w:r>
              <w:rPr>
                <w:rFonts w:hint="eastAsia" w:ascii="宋体" w:hAnsi="宋体" w:cs="宋体"/>
                <w:color w:val="auto"/>
                <w:sz w:val="21"/>
                <w:szCs w:val="21"/>
                <w:highlight w:val="none"/>
              </w:rPr>
              <w:t>万元及以上的新建或改扩建高速公路机电工程项目加</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分，本项最多加</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pPr>
              <w:adjustRightInd w:val="0"/>
              <w:snapToGrid w:val="0"/>
              <w:spacing w:before="72" w:beforeLines="30" w:after="72" w:afterLines="30" w:line="320" w:lineRule="exact"/>
              <w:ind w:left="105" w:leftChars="50" w:right="105" w:rightChars="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注：业绩</w:t>
            </w:r>
            <w:r>
              <w:rPr>
                <w:rFonts w:hint="eastAsia" w:ascii="宋体" w:hAnsi="宋体" w:cs="宋体"/>
                <w:color w:val="auto"/>
                <w:sz w:val="21"/>
                <w:szCs w:val="21"/>
                <w:highlight w:val="none"/>
              </w:rPr>
              <w:t>证明材料</w:t>
            </w:r>
            <w:r>
              <w:rPr>
                <w:rFonts w:hint="eastAsia" w:ascii="宋体" w:hAnsi="宋体" w:cs="宋体"/>
                <w:color w:val="auto"/>
                <w:sz w:val="21"/>
                <w:szCs w:val="21"/>
                <w:highlight w:val="none"/>
                <w:lang w:val="en-US" w:eastAsia="zh-CN"/>
              </w:rPr>
              <w:t>需附</w:t>
            </w:r>
            <w:r>
              <w:rPr>
                <w:rFonts w:hint="eastAsia" w:ascii="宋体" w:hAnsi="宋体" w:cs="宋体"/>
                <w:color w:val="auto"/>
                <w:sz w:val="21"/>
                <w:szCs w:val="21"/>
                <w:highlight w:val="none"/>
              </w:rPr>
              <w:t>江西省公共资源交易系统（交通平台）中查询的主包业绩或分包业绩的网页截图，网页截图内容应清晰可辨；若无相关业绩网页截图则应附中标通知书（或合同协议书）和交工验收证书（或竣工验收证书）或业主（或上级审批部门）出具的相关业绩证明材料的彩色扫描件，如投标人未提供相关业绩的证明材料，无法证实投标人所填报业绩，则该项目业绩不予认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14" w:hRule="atLeast"/>
        </w:trPr>
        <w:tc>
          <w:tcPr>
            <w:tcW w:w="9262" w:type="dxa"/>
            <w:gridSpan w:val="7"/>
            <w:noWrap w:val="0"/>
            <w:vAlign w:val="center"/>
          </w:tcPr>
          <w:p>
            <w:pPr>
              <w:widowControl/>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需要补充的其他内容：</w:t>
            </w:r>
          </w:p>
          <w:p>
            <w:pPr>
              <w:adjustRightInd w:val="0"/>
              <w:snapToGrid w:val="0"/>
              <w:spacing w:before="72" w:beforeLines="30" w:after="72" w:afterLines="30"/>
              <w:ind w:left="63" w:leftChars="30" w:right="63" w:rightChars="30"/>
              <w:rPr>
                <w:rFonts w:hint="eastAsia" w:ascii="宋体" w:hAnsi="宋体" w:cs="宋体"/>
                <w:color w:val="auto"/>
                <w:sz w:val="21"/>
                <w:szCs w:val="21"/>
                <w:highlight w:val="none"/>
              </w:rPr>
            </w:pPr>
            <w:r>
              <w:rPr>
                <w:rFonts w:hint="eastAsia" w:cs="宋体"/>
                <w:b/>
                <w:bCs/>
                <w:color w:val="auto"/>
                <w:sz w:val="21"/>
                <w:szCs w:val="21"/>
                <w:highlight w:val="none"/>
              </w:rPr>
              <w:t>本项目评标办法3.6.1款不适用，删除。</w:t>
            </w:r>
          </w:p>
        </w:tc>
      </w:tr>
    </w:tbl>
    <w:p>
      <w:pPr>
        <w:pStyle w:val="5"/>
        <w:numPr>
          <w:ilvl w:val="0"/>
          <w:numId w:val="2"/>
        </w:numPr>
        <w:adjustRightInd w:val="0"/>
        <w:snapToGrid w:val="0"/>
        <w:spacing w:line="336" w:lineRule="auto"/>
        <w:ind w:left="240" w:leftChars="0" w:firstLineChars="0"/>
        <w:outlineLvl w:val="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评标方法</w:t>
      </w:r>
      <w:bookmarkEnd w:id="3"/>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bookmarkStart w:id="5" w:name="_bookmark96"/>
      <w:bookmarkEnd w:id="5"/>
      <w:bookmarkStart w:id="6" w:name="_Toc5731"/>
      <w:bookmarkStart w:id="7" w:name="_Toc1560"/>
      <w:r>
        <w:rPr>
          <w:rFonts w:hint="eastAsia" w:asciiTheme="minorEastAsia" w:hAnsiTheme="minorEastAsia" w:eastAsiaTheme="minorEastAsia" w:cstheme="minorEastAsia"/>
          <w:color w:val="auto"/>
          <w:sz w:val="24"/>
          <w:szCs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numPr>
          <w:ilvl w:val="0"/>
          <w:numId w:val="3"/>
        </w:numPr>
        <w:tabs>
          <w:tab w:val="left" w:pos="845"/>
        </w:tabs>
        <w:adjustRightInd w:val="0"/>
        <w:snapToGrid w:val="0"/>
        <w:spacing w:line="336" w:lineRule="auto"/>
        <w:jc w:val="both"/>
        <w:outlineLvl w:val="2"/>
        <w:rPr>
          <w:rFonts w:hint="eastAsia" w:asciiTheme="minorEastAsia" w:hAnsiTheme="minorEastAsia" w:eastAsiaTheme="minorEastAsia" w:cstheme="minorEastAsia"/>
          <w:b/>
          <w:bCs/>
          <w:color w:val="auto"/>
          <w:sz w:val="24"/>
          <w:szCs w:val="24"/>
          <w:highlight w:val="none"/>
        </w:rPr>
      </w:pPr>
      <w:bookmarkStart w:id="8" w:name="_Toc23468"/>
      <w:r>
        <w:rPr>
          <w:rFonts w:hint="eastAsia" w:asciiTheme="minorEastAsia" w:hAnsiTheme="minorEastAsia" w:eastAsiaTheme="minorEastAsia" w:cstheme="minorEastAsia"/>
          <w:b/>
          <w:bCs/>
          <w:color w:val="auto"/>
          <w:sz w:val="24"/>
          <w:szCs w:val="24"/>
          <w:highlight w:val="none"/>
        </w:rPr>
        <w:t>评审标准</w:t>
      </w:r>
      <w:bookmarkEnd w:id="6"/>
      <w:bookmarkEnd w:id="7"/>
      <w:bookmarkEnd w:id="8"/>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9" w:name="_bookmark97"/>
      <w:bookmarkEnd w:id="9"/>
      <w:bookmarkStart w:id="10" w:name="_Toc16504"/>
      <w:bookmarkStart w:id="11" w:name="_Toc32510"/>
      <w:bookmarkStart w:id="12" w:name="_Toc6514"/>
      <w:r>
        <w:rPr>
          <w:rFonts w:hint="eastAsia" w:asciiTheme="minorEastAsia" w:hAnsiTheme="minorEastAsia" w:eastAsiaTheme="minorEastAsia" w:cstheme="minorEastAsia"/>
          <w:b/>
          <w:bCs/>
          <w:color w:val="auto"/>
          <w:sz w:val="24"/>
          <w:szCs w:val="24"/>
          <w:highlight w:val="none"/>
        </w:rPr>
        <w:t>2.1 初步评审标准</w:t>
      </w:r>
      <w:bookmarkEnd w:id="10"/>
      <w:bookmarkEnd w:id="11"/>
      <w:bookmarkEnd w:id="12"/>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2.1.1</w:t>
      </w:r>
      <w:r>
        <w:rPr>
          <w:rFonts w:hint="eastAsia" w:asciiTheme="minorEastAsia" w:hAnsiTheme="minorEastAsia" w:eastAsiaTheme="minorEastAsia" w:cstheme="minorEastAsia"/>
          <w:color w:val="auto"/>
          <w:kern w:val="2"/>
          <w:sz w:val="24"/>
          <w:szCs w:val="24"/>
          <w:highlight w:val="none"/>
        </w:rPr>
        <w:t>形式评审标准：见评标办法前附表。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w:t>
      </w:r>
      <w:r>
        <w:rPr>
          <w:rFonts w:hint="eastAsia" w:asciiTheme="minorEastAsia" w:hAnsiTheme="minorEastAsia" w:eastAsiaTheme="minorEastAsia" w:cstheme="minorEastAsia"/>
          <w:color w:val="auto"/>
          <w:kern w:val="2"/>
          <w:sz w:val="24"/>
          <w:szCs w:val="24"/>
          <w:highlight w:val="none"/>
        </w:rPr>
        <w:t>资格评审标准：见评标办法前附表</w:t>
      </w:r>
      <w:r>
        <w:rPr>
          <w:rFonts w:hint="eastAsia" w:asciiTheme="minorEastAsia" w:hAnsiTheme="minorEastAsia" w:eastAsiaTheme="minorEastAsia" w:cstheme="minorEastAsia"/>
          <w:color w:val="auto"/>
          <w:sz w:val="24"/>
          <w:szCs w:val="24"/>
          <w:highlight w:val="none"/>
        </w:rPr>
        <w:t>（适用于未进行资格预审的</w:t>
      </w:r>
      <w:r>
        <w:rPr>
          <w:rFonts w:hint="eastAsia" w:asciiTheme="minorEastAsia" w:hAnsiTheme="minorEastAsia" w:eastAsiaTheme="minorEastAsia" w:cstheme="minorEastAsia"/>
          <w:color w:val="auto"/>
          <w:spacing w:val="-120"/>
          <w:sz w:val="24"/>
          <w:szCs w:val="24"/>
          <w:highlight w:val="none"/>
        </w:rPr>
        <w:t>）</w:t>
      </w:r>
      <w:r>
        <w:rPr>
          <w:rFonts w:hint="eastAsia" w:asciiTheme="minorEastAsia" w:hAnsiTheme="minorEastAsia" w:eastAsiaTheme="minorEastAsia" w:cstheme="minorEastAsia"/>
          <w:color w:val="auto"/>
          <w:kern w:val="2"/>
          <w:sz w:val="24"/>
          <w:szCs w:val="24"/>
          <w:highlight w:val="none"/>
        </w:rPr>
        <w:t>。</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w:t>
      </w:r>
      <w:r>
        <w:rPr>
          <w:rFonts w:hint="eastAsia" w:asciiTheme="minorEastAsia" w:hAnsiTheme="minorEastAsia" w:eastAsiaTheme="minorEastAsia" w:cstheme="minorEastAsia"/>
          <w:color w:val="auto"/>
          <w:kern w:val="2"/>
          <w:sz w:val="24"/>
          <w:szCs w:val="24"/>
          <w:highlight w:val="none"/>
        </w:rPr>
        <w:t>响应性评审标准：见评标办法前附表。</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13" w:name="_bookmark98"/>
      <w:bookmarkEnd w:id="13"/>
      <w:bookmarkStart w:id="14" w:name="_Toc8793"/>
      <w:bookmarkStart w:id="15" w:name="_Toc29504"/>
      <w:bookmarkStart w:id="16" w:name="_Toc9150"/>
      <w:r>
        <w:rPr>
          <w:rFonts w:hint="eastAsia" w:asciiTheme="minorEastAsia" w:hAnsiTheme="minorEastAsia" w:eastAsiaTheme="minorEastAsia" w:cstheme="minorEastAsia"/>
          <w:b/>
          <w:bCs/>
          <w:color w:val="auto"/>
          <w:sz w:val="24"/>
          <w:szCs w:val="24"/>
          <w:highlight w:val="none"/>
        </w:rPr>
        <w:t>2.2 分值构成与评分标准</w:t>
      </w:r>
      <w:bookmarkEnd w:id="14"/>
      <w:bookmarkEnd w:id="15"/>
      <w:bookmarkEnd w:id="16"/>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bookmarkStart w:id="17" w:name="_bookmark99"/>
      <w:bookmarkEnd w:id="17"/>
      <w:bookmarkStart w:id="18" w:name="_Toc28665"/>
      <w:bookmarkStart w:id="19" w:name="_Toc1391"/>
      <w:r>
        <w:rPr>
          <w:rFonts w:hint="eastAsia" w:asciiTheme="minorEastAsia" w:hAnsiTheme="minorEastAsia" w:eastAsiaTheme="minorEastAsia" w:cstheme="minorEastAsia"/>
          <w:color w:val="auto"/>
          <w:sz w:val="24"/>
          <w:szCs w:val="24"/>
          <w:highlight w:val="none"/>
        </w:rPr>
        <w:t>2.2.1 第一个信封评分分值构成</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（1）施工组织设计：见评标办法前附表；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（2）主要人员：见评标办法前附表；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（3）其他评分因素：见评标办法前附表。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第一个信封评分评分标准</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（1）施工组织设计评分标准：见评标办法前附表；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（2）主要人员评分标准：见评标办法前附表；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（3）其他因素评分标准：见评标办法前附表。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2.2.3 第二个信封详细评审标准：见评标办法前附表。</w:t>
      </w:r>
    </w:p>
    <w:p>
      <w:pPr>
        <w:tabs>
          <w:tab w:val="left" w:pos="845"/>
        </w:tabs>
        <w:adjustRightInd w:val="0"/>
        <w:snapToGrid w:val="0"/>
        <w:spacing w:line="336" w:lineRule="auto"/>
        <w:jc w:val="both"/>
        <w:outlineLvl w:val="2"/>
        <w:rPr>
          <w:rFonts w:hint="eastAsia" w:asciiTheme="minorEastAsia" w:hAnsiTheme="minorEastAsia" w:eastAsiaTheme="minorEastAsia" w:cstheme="minorEastAsia"/>
          <w:b/>
          <w:bCs/>
          <w:color w:val="auto"/>
          <w:sz w:val="24"/>
          <w:szCs w:val="24"/>
          <w:highlight w:val="none"/>
        </w:rPr>
      </w:pPr>
      <w:bookmarkStart w:id="20" w:name="_Toc27870"/>
      <w:r>
        <w:rPr>
          <w:rFonts w:hint="eastAsia" w:asciiTheme="minorEastAsia" w:hAnsiTheme="minorEastAsia" w:eastAsiaTheme="minorEastAsia" w:cstheme="minorEastAsia"/>
          <w:b/>
          <w:bCs/>
          <w:color w:val="auto"/>
          <w:sz w:val="24"/>
          <w:szCs w:val="24"/>
          <w:highlight w:val="none"/>
        </w:rPr>
        <w:t>3. 评标程序</w:t>
      </w:r>
      <w:bookmarkEnd w:id="18"/>
      <w:bookmarkEnd w:id="19"/>
      <w:bookmarkEnd w:id="20"/>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21" w:name="_bookmark100"/>
      <w:bookmarkEnd w:id="21"/>
      <w:bookmarkStart w:id="22" w:name="_Toc12914"/>
      <w:bookmarkStart w:id="23" w:name="_Toc7816"/>
      <w:bookmarkStart w:id="24" w:name="_Toc209"/>
      <w:r>
        <w:rPr>
          <w:rFonts w:hint="eastAsia" w:asciiTheme="minorEastAsia" w:hAnsiTheme="minorEastAsia" w:eastAsiaTheme="minorEastAsia" w:cstheme="minorEastAsia"/>
          <w:b/>
          <w:bCs/>
          <w:color w:val="auto"/>
          <w:sz w:val="24"/>
          <w:szCs w:val="24"/>
          <w:highlight w:val="none"/>
        </w:rPr>
        <w:t>3.1 第一个信封初步评审</w:t>
      </w:r>
      <w:bookmarkEnd w:id="22"/>
      <w:bookmarkEnd w:id="23"/>
      <w:bookmarkEnd w:id="24"/>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评标委员会可以要求投标人提交第二章“投标人须知”</w:t>
      </w:r>
      <w:r>
        <w:rPr>
          <w:rFonts w:hint="eastAsia" w:asciiTheme="minorEastAsia" w:hAnsiTheme="minorEastAsia" w:eastAsiaTheme="minorEastAsia" w:cstheme="minorEastAsia"/>
          <w:color w:val="auto"/>
          <w:spacing w:val="-31"/>
          <w:sz w:val="24"/>
          <w:szCs w:val="24"/>
          <w:highlight w:val="none"/>
        </w:rPr>
        <w:t xml:space="preserve">第 </w:t>
      </w:r>
      <w:r>
        <w:rPr>
          <w:rFonts w:hint="eastAsia" w:asciiTheme="minorEastAsia" w:hAnsiTheme="minorEastAsia" w:eastAsiaTheme="minorEastAsia" w:cstheme="minorEastAsia"/>
          <w:color w:val="auto"/>
          <w:sz w:val="24"/>
          <w:szCs w:val="24"/>
          <w:highlight w:val="none"/>
        </w:rPr>
        <w:t>3.5.1</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16"/>
          <w:sz w:val="24"/>
          <w:szCs w:val="24"/>
          <w:highlight w:val="none"/>
        </w:rPr>
        <w:t xml:space="preserve">项至第 </w:t>
      </w:r>
      <w:r>
        <w:rPr>
          <w:rFonts w:hint="eastAsia" w:asciiTheme="minorEastAsia" w:hAnsiTheme="minorEastAsia" w:eastAsiaTheme="minorEastAsia" w:cstheme="minorEastAsia"/>
          <w:color w:val="auto"/>
          <w:sz w:val="24"/>
          <w:szCs w:val="24"/>
          <w:highlight w:val="none"/>
        </w:rPr>
        <w:t xml:space="preserve">3.5.6 </w:t>
      </w:r>
      <w:r>
        <w:rPr>
          <w:rFonts w:hint="eastAsia" w:asciiTheme="minorEastAsia" w:hAnsiTheme="minorEastAsia" w:eastAsiaTheme="minorEastAsia" w:cstheme="minorEastAsia"/>
          <w:color w:val="auto"/>
          <w:spacing w:val="-1"/>
          <w:sz w:val="24"/>
          <w:szCs w:val="24"/>
          <w:highlight w:val="none"/>
        </w:rPr>
        <w:t xml:space="preserve">项规定的有关证明和证件的原件，以便核验。评标委员会依据本章第 </w:t>
      </w: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pacing w:val="47"/>
          <w:sz w:val="24"/>
          <w:szCs w:val="24"/>
          <w:highlight w:val="none"/>
        </w:rPr>
        <w:t xml:space="preserve"> </w:t>
      </w:r>
      <w:r>
        <w:rPr>
          <w:rFonts w:hint="eastAsia" w:asciiTheme="minorEastAsia" w:hAnsiTheme="minorEastAsia" w:eastAsiaTheme="minorEastAsia" w:cstheme="minorEastAsia"/>
          <w:color w:val="auto"/>
          <w:sz w:val="24"/>
          <w:szCs w:val="24"/>
          <w:highlight w:val="none"/>
        </w:rPr>
        <w:t>款规定的标准对投标文件第一个信封（商务及技术文件）进行初步评审。有一项不符合评审</w:t>
      </w:r>
      <w:r>
        <w:rPr>
          <w:rFonts w:hint="eastAsia" w:asciiTheme="minorEastAsia" w:hAnsiTheme="minorEastAsia" w:eastAsiaTheme="minorEastAsia" w:cstheme="minorEastAsia"/>
          <w:color w:val="auto"/>
          <w:spacing w:val="-8"/>
          <w:sz w:val="24"/>
          <w:szCs w:val="24"/>
          <w:highlight w:val="none"/>
        </w:rPr>
        <w:t>标准的，评标委员会应否决其投标。</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25" w:name="_bookmark101"/>
      <w:bookmarkEnd w:id="25"/>
      <w:bookmarkStart w:id="26" w:name="_Toc24176"/>
      <w:bookmarkStart w:id="27" w:name="_Toc12711"/>
      <w:bookmarkStart w:id="28" w:name="_Toc6398"/>
      <w:r>
        <w:rPr>
          <w:rFonts w:hint="eastAsia" w:asciiTheme="minorEastAsia" w:hAnsiTheme="minorEastAsia" w:eastAsiaTheme="minorEastAsia" w:cstheme="minorEastAsia"/>
          <w:b/>
          <w:bCs/>
          <w:color w:val="auto"/>
          <w:sz w:val="24"/>
          <w:szCs w:val="24"/>
          <w:highlight w:val="none"/>
        </w:rPr>
        <w:t>3.2 第一个信封详细评审</w:t>
      </w:r>
      <w:bookmarkEnd w:id="26"/>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评标委员会按本章第 2.2 款规定的量化因素和分值进行打分，并计算出各投标人的商务和技术得分。</w:t>
      </w:r>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（1）按本章第 2.2.2 项（1）目规定的评审因素和分值对施工组织设计部分计算出得分A；</w:t>
      </w:r>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（2）按本章第 2.2.2 项（2）目规定的评审因素和分值对主要人员部分计算出得分B；</w:t>
      </w:r>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（3）按本章第 2.2.2 项（3）目规定的评审因素和分值对其他部分计算出得分C。</w:t>
      </w:r>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投标人的商务和技术得分分值计算保留小数点后两位，小数点后第三位“四舍五入”。</w:t>
      </w:r>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投标人的商务和技术得分=A+B+C。</w:t>
      </w:r>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评标委员会按照投标人的商务和技术得分由高到低排序，排名在评标办法前附表规定数量以内的投标人，其投标文件第一个信封（商务及技术文件）通过详细评审。</w:t>
      </w:r>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3.2.5通过投标文件第一个信封（商务及技术文件）初步评审的投标人不少于 3 个且未超过评标办法前附表第 3.2.4 项规定数量的，均通过投标文件第一个信封（商务及技术文件）详细评审，不再对投标人的商务和技术文件进行评分。</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29" w:name="_Toc736"/>
      <w:r>
        <w:rPr>
          <w:rFonts w:hint="eastAsia" w:asciiTheme="minorEastAsia" w:hAnsiTheme="minorEastAsia" w:eastAsiaTheme="minorEastAsia" w:cstheme="minorEastAsia"/>
          <w:b/>
          <w:bCs/>
          <w:color w:val="auto"/>
          <w:sz w:val="24"/>
          <w:szCs w:val="24"/>
          <w:highlight w:val="none"/>
        </w:rPr>
        <w:t>3.3 第二个信封开标</w:t>
      </w:r>
      <w:bookmarkEnd w:id="27"/>
      <w:bookmarkEnd w:id="28"/>
      <w:bookmarkEnd w:id="29"/>
    </w:p>
    <w:p>
      <w:pPr>
        <w:pStyle w:val="5"/>
        <w:adjustRightInd w:val="0"/>
        <w:snapToGrid w:val="0"/>
        <w:spacing w:line="336" w:lineRule="auto"/>
        <w:ind w:firstLine="432"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第一个信封</w:t>
      </w:r>
      <w:r>
        <w:rPr>
          <w:rFonts w:hint="eastAsia" w:asciiTheme="minorEastAsia" w:hAnsiTheme="minorEastAsia" w:eastAsiaTheme="minorEastAsia" w:cstheme="minorEastAsia"/>
          <w:color w:val="auto"/>
          <w:sz w:val="24"/>
          <w:szCs w:val="24"/>
          <w:highlight w:val="none"/>
        </w:rPr>
        <w:t>（商务及技术文件</w:t>
      </w:r>
      <w:r>
        <w:rPr>
          <w:rFonts w:hint="eastAsia" w:asciiTheme="minorEastAsia" w:hAnsiTheme="minorEastAsia" w:eastAsiaTheme="minorEastAsia" w:cstheme="minorEastAsia"/>
          <w:color w:val="auto"/>
          <w:spacing w:val="-60"/>
          <w:sz w:val="24"/>
          <w:szCs w:val="24"/>
          <w:highlight w:val="none"/>
        </w:rPr>
        <w:t>）</w:t>
      </w:r>
      <w:r>
        <w:rPr>
          <w:rFonts w:hint="eastAsia" w:asciiTheme="minorEastAsia" w:hAnsiTheme="minorEastAsia" w:eastAsiaTheme="minorEastAsia" w:cstheme="minorEastAsia"/>
          <w:color w:val="auto"/>
          <w:spacing w:val="-8"/>
          <w:sz w:val="24"/>
          <w:szCs w:val="24"/>
          <w:highlight w:val="none"/>
        </w:rPr>
        <w:t>评审结束后，招标人将按照第二章</w:t>
      </w:r>
      <w:r>
        <w:rPr>
          <w:rFonts w:hint="eastAsia" w:asciiTheme="minorEastAsia" w:hAnsiTheme="minorEastAsia" w:eastAsiaTheme="minorEastAsia" w:cstheme="minorEastAsia"/>
          <w:color w:val="auto"/>
          <w:sz w:val="24"/>
          <w:szCs w:val="24"/>
          <w:highlight w:val="none"/>
        </w:rPr>
        <w:t>“投标人须知”</w:t>
      </w:r>
      <w:r>
        <w:rPr>
          <w:rFonts w:hint="eastAsia" w:asciiTheme="minorEastAsia" w:hAnsiTheme="minorEastAsia" w:eastAsiaTheme="minorEastAsia" w:cstheme="minorEastAsia"/>
          <w:color w:val="auto"/>
          <w:spacing w:val="-6"/>
          <w:sz w:val="24"/>
          <w:szCs w:val="24"/>
          <w:highlight w:val="none"/>
        </w:rPr>
        <w:t xml:space="preserve">第 </w:t>
      </w:r>
      <w:r>
        <w:rPr>
          <w:rFonts w:hint="eastAsia" w:asciiTheme="minorEastAsia" w:hAnsiTheme="minorEastAsia" w:eastAsiaTheme="minorEastAsia" w:cstheme="minorEastAsia"/>
          <w:color w:val="auto"/>
          <w:sz w:val="24"/>
          <w:szCs w:val="24"/>
          <w:highlight w:val="none"/>
        </w:rPr>
        <w:t>5.1 款规定的时间和地点对通过投标文件第一个信封（商务及技术文件）评审的投标文件第二个信封（报价文件）进行开标。</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30" w:name="_bookmark102"/>
      <w:bookmarkEnd w:id="30"/>
      <w:bookmarkStart w:id="31" w:name="_Toc17943"/>
      <w:bookmarkStart w:id="32" w:name="_Toc31309"/>
      <w:bookmarkStart w:id="33" w:name="_Toc155"/>
      <w:r>
        <w:rPr>
          <w:rFonts w:hint="eastAsia" w:asciiTheme="minorEastAsia" w:hAnsiTheme="minorEastAsia" w:eastAsiaTheme="minorEastAsia" w:cstheme="minorEastAsia"/>
          <w:b/>
          <w:bCs/>
          <w:color w:val="auto"/>
          <w:sz w:val="24"/>
          <w:szCs w:val="24"/>
          <w:highlight w:val="none"/>
        </w:rPr>
        <w:t>3.4 第二个信封初步评审</w:t>
      </w:r>
      <w:bookmarkEnd w:id="31"/>
      <w:bookmarkEnd w:id="32"/>
      <w:bookmarkEnd w:id="33"/>
    </w:p>
    <w:p>
      <w:pPr>
        <w:pStyle w:val="5"/>
        <w:adjustRightInd w:val="0"/>
        <w:snapToGrid w:val="0"/>
        <w:spacing w:line="336" w:lineRule="auto"/>
        <w:ind w:firstLine="432" w:firstLineChars="200"/>
        <w:jc w:val="both"/>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3.4.1 评标委员会依据本章第 2.1.1 项、第 2.1.3 项规定的评审标准对投标文件第二个信封（报价文件）进行初步评审。有一项不符合评审标准的，评标委员会应否决其投标。</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34" w:name="_bookmark103"/>
      <w:bookmarkEnd w:id="34"/>
      <w:bookmarkStart w:id="35" w:name="_Toc7542"/>
      <w:bookmarkStart w:id="36" w:name="_Toc15998"/>
      <w:bookmarkStart w:id="37" w:name="_Toc24782"/>
      <w:r>
        <w:rPr>
          <w:rFonts w:hint="eastAsia" w:asciiTheme="minorEastAsia" w:hAnsiTheme="minorEastAsia" w:eastAsiaTheme="minorEastAsia" w:cstheme="minorEastAsia"/>
          <w:b/>
          <w:bCs/>
          <w:color w:val="auto"/>
          <w:sz w:val="24"/>
          <w:szCs w:val="24"/>
          <w:highlight w:val="none"/>
        </w:rPr>
        <w:t>3.5 第二个信封详细评审</w:t>
      </w:r>
      <w:bookmarkEnd w:id="35"/>
      <w:bookmarkEnd w:id="36"/>
      <w:bookmarkEnd w:id="37"/>
    </w:p>
    <w:p>
      <w:pPr>
        <w:pStyle w:val="11"/>
        <w:tabs>
          <w:tab w:val="left" w:pos="1505"/>
        </w:tabs>
        <w:adjustRightInd w:val="0"/>
        <w:snapToGrid w:val="0"/>
        <w:spacing w:line="336" w:lineRule="auto"/>
        <w:ind w:left="0" w:firstLine="456"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3.5.1 评标委员会按本章第 </w:t>
      </w:r>
      <w:r>
        <w:rPr>
          <w:rFonts w:hint="eastAsia" w:asciiTheme="minorEastAsia" w:hAnsiTheme="minorEastAsia" w:eastAsiaTheme="minorEastAsia" w:cstheme="minorEastAsia"/>
          <w:color w:val="auto"/>
          <w:sz w:val="24"/>
          <w:szCs w:val="24"/>
          <w:highlight w:val="none"/>
        </w:rPr>
        <w:t xml:space="preserve">2.2 </w:t>
      </w:r>
      <w:r>
        <w:rPr>
          <w:rFonts w:hint="eastAsia" w:asciiTheme="minorEastAsia" w:hAnsiTheme="minorEastAsia" w:eastAsiaTheme="minorEastAsia" w:cstheme="minorEastAsia"/>
          <w:color w:val="auto"/>
          <w:spacing w:val="-2"/>
          <w:sz w:val="24"/>
          <w:szCs w:val="24"/>
          <w:highlight w:val="none"/>
        </w:rPr>
        <w:t>款规定的量化因素和分值进行打分，并计算出评标价，并编制价格比较一览表</w:t>
      </w:r>
      <w:r>
        <w:rPr>
          <w:rFonts w:hint="eastAsia" w:asciiTheme="minorEastAsia" w:hAnsiTheme="minorEastAsia" w:eastAsiaTheme="minorEastAsia" w:cstheme="minorEastAsia"/>
          <w:color w:val="auto"/>
          <w:sz w:val="24"/>
          <w:szCs w:val="24"/>
          <w:highlight w:val="none"/>
        </w:rPr>
        <w:t>。</w:t>
      </w:r>
    </w:p>
    <w:p>
      <w:pPr>
        <w:pStyle w:val="11"/>
        <w:tabs>
          <w:tab w:val="left" w:pos="1505"/>
        </w:tabs>
        <w:adjustRightInd w:val="0"/>
        <w:snapToGrid w:val="0"/>
        <w:spacing w:line="336" w:lineRule="auto"/>
        <w:ind w:left="0" w:firstLine="464"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3.5.2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38" w:name="_bookmark104"/>
      <w:bookmarkEnd w:id="38"/>
      <w:bookmarkStart w:id="39" w:name="_Toc16177"/>
      <w:bookmarkStart w:id="40" w:name="_Toc7684"/>
      <w:bookmarkStart w:id="41" w:name="_Toc27394"/>
      <w:r>
        <w:rPr>
          <w:rFonts w:hint="eastAsia" w:asciiTheme="minorEastAsia" w:hAnsiTheme="minorEastAsia" w:eastAsiaTheme="minorEastAsia" w:cstheme="minorEastAsia"/>
          <w:b/>
          <w:bCs/>
          <w:color w:val="auto"/>
          <w:sz w:val="24"/>
          <w:szCs w:val="24"/>
          <w:highlight w:val="none"/>
        </w:rPr>
        <w:t>3.6 投标文件相关信息的核查</w:t>
      </w:r>
      <w:bookmarkEnd w:id="39"/>
      <w:bookmarkEnd w:id="40"/>
      <w:bookmarkEnd w:id="41"/>
    </w:p>
    <w:p>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Style w:val="11"/>
        <w:tabs>
          <w:tab w:val="left" w:pos="1505"/>
        </w:tabs>
        <w:adjustRightInd w:val="0"/>
        <w:snapToGrid w:val="0"/>
        <w:spacing w:line="336" w:lineRule="auto"/>
        <w:ind w:left="0" w:firstLine="464"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（1）有下列情形之一的，属于投标人相互串通投标：</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a.投标人之间协商投标报价等投标文件的实质性内容；</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b.投标人之间约定中标人；</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c.投标人之间约定部分投标人放弃投标或中标；</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d.属于同一集团、协会、商会等组织成员的投标人按照该组织要求协同投标；</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e.投标人之间为谋取中标或排斥特定投标人而采取的其他联合行动。</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（2）有下列情形之一的，视为投标人相互串通投标：</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a.不同投标人的投标文件由同一单位或个人编制； b.不同投标人委托同一单位或个人办理投标事宜；</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c.不同投标人的投标文件载明的项目管理成员为同一人；</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d.不同投标人的投标文件异常一致或投标报价呈规律性差异；</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e.不同投标人的投标文件相互混装；                   </w:t>
      </w:r>
    </w:p>
    <w:p>
      <w:pPr>
        <w:pStyle w:val="5"/>
        <w:adjustRightInd w:val="0"/>
        <w:snapToGrid w:val="0"/>
        <w:spacing w:line="336" w:lineRule="auto"/>
        <w:ind w:firstLine="476"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f.</w:t>
      </w:r>
      <w:r>
        <w:rPr>
          <w:rFonts w:hint="eastAsia" w:asciiTheme="minorEastAsia" w:hAnsiTheme="minorEastAsia" w:eastAsiaTheme="minorEastAsia" w:cstheme="minorEastAsia"/>
          <w:color w:val="auto"/>
          <w:sz w:val="24"/>
          <w:szCs w:val="24"/>
          <w:highlight w:val="none"/>
        </w:rPr>
        <w:t>不同投标人的投标保证金从同一单位或个人的账户转出。</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（3）有下列情形之一的，属于招标人与投标人串通投标：</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a.招标人在开标前开启投标文件并将有关信息泄露给其他投标人;</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b.招标人直接或间接向投标人泄露标底、评标委员会成员等信息；</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c.招标人明示或暗示投标人压低或抬高投标报价；</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d.招标人授意投标人撤换、修改投标文件；           </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e.招标人明示或暗示投标人为特定投标人中标提供方便；</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f.招标人与投标人为谋求特定投标人中标而采取的其他串通行为。</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（4）投标人有下列情形之一的，属于弄虚作假的行为：</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a.使用通过受让或租借等方式获取的资格、资质证书投标；</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b.使用伪造、变造的许可证件；</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c.提供虚假的财务状况或业绩；</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d.提供虚假的项目负责人或主要技术人员简历、劳动关系证明；</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e.提供虚假的信用状况；</w:t>
      </w:r>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f.其他弄虚作假的行为。</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42" w:name="_bookmark105"/>
      <w:bookmarkEnd w:id="42"/>
      <w:bookmarkStart w:id="43" w:name="_Toc9697"/>
      <w:bookmarkStart w:id="44" w:name="_Toc457"/>
      <w:bookmarkStart w:id="45" w:name="_Toc15870"/>
      <w:r>
        <w:rPr>
          <w:rFonts w:hint="eastAsia" w:asciiTheme="minorEastAsia" w:hAnsiTheme="minorEastAsia" w:eastAsiaTheme="minorEastAsia" w:cstheme="minorEastAsia"/>
          <w:b/>
          <w:bCs/>
          <w:color w:val="auto"/>
          <w:sz w:val="24"/>
          <w:szCs w:val="24"/>
          <w:highlight w:val="none"/>
        </w:rPr>
        <w:t>3.7 投标文件的澄清和说明</w:t>
      </w:r>
      <w:bookmarkEnd w:id="43"/>
      <w:bookmarkEnd w:id="44"/>
      <w:bookmarkEnd w:id="45"/>
    </w:p>
    <w:p>
      <w:pPr>
        <w:pStyle w:val="11"/>
        <w:tabs>
          <w:tab w:val="left" w:pos="1505"/>
        </w:tabs>
        <w:adjustRightInd w:val="0"/>
        <w:snapToGrid w:val="0"/>
        <w:spacing w:line="336" w:lineRule="auto"/>
        <w:ind w:left="0" w:firstLine="444"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11"/>
        <w:tabs>
          <w:tab w:val="left" w:pos="1505"/>
        </w:tabs>
        <w:adjustRightInd w:val="0"/>
        <w:snapToGrid w:val="0"/>
        <w:spacing w:line="336" w:lineRule="auto"/>
        <w:ind w:left="0" w:firstLine="468"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3.7.2 澄清和说明不得超出投标文件的范围或改变投标文件的实质性内容</w:t>
      </w:r>
      <w:r>
        <w:rPr>
          <w:rFonts w:hint="eastAsia" w:asciiTheme="minorEastAsia" w:hAnsiTheme="minorEastAsia" w:eastAsiaTheme="minorEastAsia" w:cstheme="minorEastAsia"/>
          <w:color w:val="auto"/>
          <w:sz w:val="24"/>
          <w:szCs w:val="24"/>
          <w:highlight w:val="none"/>
        </w:rPr>
        <w:t>（算术性错误的修正除外</w:t>
      </w:r>
      <w:r>
        <w:rPr>
          <w:rFonts w:hint="eastAsia" w:asciiTheme="minorEastAsia" w:hAnsiTheme="minorEastAsia" w:eastAsiaTheme="minorEastAsia" w:cstheme="minorEastAsia"/>
          <w:color w:val="auto"/>
          <w:spacing w:val="-120"/>
          <w:sz w:val="24"/>
          <w:szCs w:val="24"/>
          <w:highlight w:val="none"/>
        </w:rPr>
        <w:t>）</w:t>
      </w:r>
      <w:r>
        <w:rPr>
          <w:rFonts w:hint="eastAsia" w:asciiTheme="minorEastAsia" w:hAnsiTheme="minorEastAsia" w:eastAsiaTheme="minorEastAsia" w:cstheme="minorEastAsia"/>
          <w:color w:val="auto"/>
          <w:sz w:val="24"/>
          <w:szCs w:val="24"/>
          <w:highlight w:val="none"/>
        </w:rPr>
        <w:t>。投标人的书面澄清、说明属于投标文件的组成部分。</w:t>
      </w:r>
    </w:p>
    <w:p>
      <w:pPr>
        <w:pStyle w:val="11"/>
        <w:tabs>
          <w:tab w:val="left" w:pos="1505"/>
        </w:tabs>
        <w:adjustRightInd w:val="0"/>
        <w:snapToGrid w:val="0"/>
        <w:spacing w:line="336" w:lineRule="auto"/>
        <w:ind w:left="0" w:firstLine="436"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3.7.3 评标委员会不得暗示或诱导投标人作出澄清、说明，对投标人提交的澄清、说明有疑问的，可以要求投标人进一步澄清或说明，直至满足评标委员会的要求。</w:t>
      </w:r>
    </w:p>
    <w:p>
      <w:pPr>
        <w:pStyle w:val="11"/>
        <w:tabs>
          <w:tab w:val="left" w:pos="1505"/>
        </w:tabs>
        <w:adjustRightInd w:val="0"/>
        <w:snapToGrid w:val="0"/>
        <w:spacing w:line="336" w:lineRule="auto"/>
        <w:ind w:left="0" w:firstLine="468"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3.7.4 凡超出招标文件规定的或给发包人带来未曾要求的利益的变化、偏差或其他因素在评标时不予考虑。</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46" w:name="_bookmark106"/>
      <w:bookmarkEnd w:id="46"/>
      <w:bookmarkStart w:id="47" w:name="_Toc6190"/>
      <w:bookmarkStart w:id="48" w:name="_Toc28916"/>
      <w:bookmarkStart w:id="49" w:name="_Toc20625"/>
      <w:r>
        <w:rPr>
          <w:rFonts w:hint="eastAsia" w:asciiTheme="minorEastAsia" w:hAnsiTheme="minorEastAsia" w:eastAsiaTheme="minorEastAsia" w:cstheme="minorEastAsia"/>
          <w:b/>
          <w:bCs/>
          <w:color w:val="auto"/>
          <w:sz w:val="24"/>
          <w:szCs w:val="24"/>
          <w:highlight w:val="none"/>
        </w:rPr>
        <w:t>3.8 不得否决投标的情形</w:t>
      </w:r>
      <w:bookmarkEnd w:id="47"/>
      <w:bookmarkEnd w:id="48"/>
      <w:bookmarkEnd w:id="49"/>
    </w:p>
    <w:p>
      <w:pPr>
        <w:pStyle w:val="5"/>
        <w:adjustRightInd w:val="0"/>
        <w:snapToGrid w:val="0"/>
        <w:spacing w:line="336"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投标文件存在第二章“投标人须知”第 1.12.3 项所列情形的，均视为细微偏差，评标委员会不得否决投标人的投标，应按照第二章“投标人须知”第 1.12.4 项规定的原则处理。</w:t>
      </w:r>
    </w:p>
    <w:p>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color w:val="auto"/>
          <w:sz w:val="24"/>
          <w:szCs w:val="24"/>
          <w:highlight w:val="none"/>
        </w:rPr>
      </w:pPr>
      <w:bookmarkStart w:id="50" w:name="_bookmark107"/>
      <w:bookmarkEnd w:id="50"/>
      <w:bookmarkStart w:id="51" w:name="_Toc22646"/>
      <w:bookmarkStart w:id="52" w:name="_Toc9689"/>
      <w:bookmarkStart w:id="53" w:name="_Toc14010"/>
      <w:r>
        <w:rPr>
          <w:rFonts w:hint="eastAsia" w:asciiTheme="minorEastAsia" w:hAnsiTheme="minorEastAsia" w:eastAsiaTheme="minorEastAsia" w:cstheme="minorEastAsia"/>
          <w:b/>
          <w:bCs/>
          <w:color w:val="auto"/>
          <w:sz w:val="24"/>
          <w:szCs w:val="24"/>
          <w:highlight w:val="none"/>
        </w:rPr>
        <w:t>3.9 评标结果</w:t>
      </w:r>
      <w:bookmarkEnd w:id="51"/>
      <w:bookmarkEnd w:id="52"/>
      <w:bookmarkEnd w:id="53"/>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ind w:left="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3.9.1 除第二章“投标人须知”前附表授权直接确定中标人外，评标委员会按照得分由高到低的顺序推荐中标候选人，并标明排序。</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ind w:left="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3.9.2 评标委员会完成评标后，应向招标人提交书面评标报告。</w:t>
      </w: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A91CB"/>
    <w:multiLevelType w:val="singleLevel"/>
    <w:tmpl w:val="8C7A91CB"/>
    <w:lvl w:ilvl="0" w:tentative="0">
      <w:start w:val="1"/>
      <w:numFmt w:val="decimal"/>
      <w:suff w:val="space"/>
      <w:lvlText w:val="%1."/>
      <w:lvlJc w:val="left"/>
      <w:pPr>
        <w:ind w:left="91"/>
      </w:pPr>
    </w:lvl>
  </w:abstractNum>
  <w:abstractNum w:abstractNumId="1">
    <w:nsid w:val="2036A8B1"/>
    <w:multiLevelType w:val="singleLevel"/>
    <w:tmpl w:val="2036A8B1"/>
    <w:lvl w:ilvl="0" w:tentative="0">
      <w:start w:val="1"/>
      <w:numFmt w:val="decimal"/>
      <w:suff w:val="nothing"/>
      <w:lvlText w:val="（%1）"/>
      <w:lvlJc w:val="left"/>
      <w:pPr>
        <w:ind w:left="10"/>
      </w:pPr>
    </w:lvl>
  </w:abstractNum>
  <w:abstractNum w:abstractNumId="2">
    <w:nsid w:val="6C785E14"/>
    <w:multiLevelType w:val="singleLevel"/>
    <w:tmpl w:val="6C785E14"/>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2E5OGIwNWUwNmE1ZTMyZjdjY2U3YTY4NTVjZTAifQ=="/>
  </w:docVars>
  <w:rsids>
    <w:rsidRoot w:val="783646DD"/>
    <w:rsid w:val="043D7D05"/>
    <w:rsid w:val="0FF5441F"/>
    <w:rsid w:val="1DA13FCE"/>
    <w:rsid w:val="23582030"/>
    <w:rsid w:val="2B3653F3"/>
    <w:rsid w:val="5260322E"/>
    <w:rsid w:val="5D377B75"/>
    <w:rsid w:val="5EB209F9"/>
    <w:rsid w:val="61214138"/>
    <w:rsid w:val="7836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qFormat/>
    <w:uiPriority w:val="35"/>
    <w:pPr>
      <w:adjustRightInd w:val="0"/>
      <w:spacing w:before="152" w:after="160" w:line="312" w:lineRule="atLeast"/>
      <w:textAlignment w:val="baseline"/>
    </w:pPr>
    <w:rPr>
      <w:rFonts w:ascii="Arial" w:hAnsi="Arial" w:eastAsia="黑体"/>
      <w:kern w:val="0"/>
    </w:rPr>
  </w:style>
  <w:style w:type="paragraph" w:styleId="5">
    <w:name w:val="Body Text"/>
    <w:basedOn w:val="1"/>
    <w:autoRedefine/>
    <w:qFormat/>
    <w:uiPriority w:val="0"/>
    <w:pPr>
      <w:tabs>
        <w:tab w:val="left" w:pos="6480"/>
      </w:tabs>
    </w:pPr>
    <w:rPr>
      <w:kern w:val="0"/>
      <w:sz w:val="4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Paragraph"/>
    <w:basedOn w:val="1"/>
    <w:qFormat/>
    <w:uiPriority w:val="99"/>
    <w:pPr>
      <w:widowControl w:val="0"/>
    </w:pPr>
    <w:rPr>
      <w:rFonts w:ascii="Times New Roman" w:hAnsi="Times New Roman" w:cs="Times New Roman"/>
      <w:sz w:val="22"/>
      <w:szCs w:val="22"/>
      <w:lang w:eastAsia="en-US"/>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List Paragraph"/>
    <w:basedOn w:val="1"/>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3144</Words>
  <Characters>3478</Characters>
  <Lines>0</Lines>
  <Paragraphs>0</Paragraphs>
  <TotalTime>1</TotalTime>
  <ScaleCrop>false</ScaleCrop>
  <LinksUpToDate>false</LinksUpToDate>
  <CharactersWithSpaces>3547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2023-06-19T04:09:00Z</dcterms:created>
  <dc:creator>刘丽</dc:creator>
  <cp:lastModifiedBy>刘丽</cp:lastModifiedBy>
  <cp:lastPrinted>2023-06-20T07:23:00Z</cp:lastPrinted>
  <dcterms:modified xsi:type="dcterms:W3CDTF">2024-01-24T08:08:26Z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1A302499512341BB8A32728835CE749F_13</vt:lpwstr>
  </property>
</Properties>
</file>